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C047E" w14:textId="7C613F7C" w:rsidR="00E766A0" w:rsidRPr="00473EC7" w:rsidRDefault="00206FA7" w:rsidP="0080578B">
      <w:pPr>
        <w:pStyle w:val="TJSC-TtulodoAto"/>
      </w:pPr>
      <w:bookmarkStart w:id="0" w:name="_GoBack"/>
      <w:bookmarkEnd w:id="0"/>
      <w:r>
        <w:t>orientação cgj n. 65 de 30 de agosto de 2018</w:t>
      </w:r>
    </w:p>
    <w:p w14:paraId="4A2D6EE9" w14:textId="77777777" w:rsidR="005F3B33" w:rsidRDefault="005F3B33">
      <w:pPr>
        <w:pStyle w:val="TJSC-CorpodoTexto"/>
      </w:pPr>
    </w:p>
    <w:p w14:paraId="37D3D7BB" w14:textId="77777777" w:rsidR="007A57EE" w:rsidRPr="008B0DE4" w:rsidRDefault="007A57EE" w:rsidP="007A57EE">
      <w:pPr>
        <w:pStyle w:val="TJSC-TtuloMaior"/>
      </w:pPr>
      <w:r w:rsidRPr="008B0DE4">
        <w:t xml:space="preserve">ORIENTAÇÕES PARA </w:t>
      </w:r>
      <w:r>
        <w:t>REVISÃO</w:t>
      </w:r>
      <w:r w:rsidRPr="008B0DE4">
        <w:t xml:space="preserve"> DO HISTÓRICO DE PARTES</w:t>
      </w:r>
    </w:p>
    <w:p w14:paraId="5507FD65" w14:textId="77777777" w:rsidR="007A57EE" w:rsidRPr="004D01A2" w:rsidRDefault="007A57EE" w:rsidP="007A57EE">
      <w:pPr>
        <w:jc w:val="center"/>
        <w:rPr>
          <w:rFonts w:cs="Arial"/>
          <w:b/>
        </w:rPr>
      </w:pPr>
      <w:r w:rsidRPr="004D01A2">
        <w:rPr>
          <w:rFonts w:cs="Arial"/>
          <w:b/>
        </w:rPr>
        <w:t>Preparação para recebimento da biometria para controle de apresentações à Justiça</w:t>
      </w:r>
    </w:p>
    <w:p w14:paraId="2E90EB14" w14:textId="77777777" w:rsidR="007A57EE" w:rsidRPr="008B0DE4" w:rsidRDefault="007A57EE" w:rsidP="007A57EE">
      <w:pPr>
        <w:jc w:val="center"/>
        <w:rPr>
          <w:rFonts w:cs="Arial"/>
          <w:b/>
        </w:rPr>
      </w:pPr>
    </w:p>
    <w:p w14:paraId="28545C3C" w14:textId="77777777" w:rsidR="00175F06" w:rsidRDefault="00175F06" w:rsidP="007A57EE">
      <w:pPr>
        <w:pStyle w:val="TJSC-TtuloMaior"/>
        <w:ind w:left="0"/>
      </w:pPr>
    </w:p>
    <w:p w14:paraId="08971A83" w14:textId="32365077" w:rsidR="007A57EE" w:rsidRPr="008B0DE4" w:rsidRDefault="007A57EE" w:rsidP="007A57EE">
      <w:pPr>
        <w:pStyle w:val="TJSC-TtuloMaior"/>
        <w:ind w:left="0"/>
      </w:pPr>
      <w:r w:rsidRPr="008B0DE4">
        <w:t>Introdução</w:t>
      </w:r>
    </w:p>
    <w:p w14:paraId="27E0C891" w14:textId="77777777" w:rsidR="007A57EE" w:rsidRPr="008B0DE4" w:rsidRDefault="007A57EE" w:rsidP="007A57EE">
      <w:pPr>
        <w:pStyle w:val="TJSC-CorpodoTexto"/>
        <w:jc w:val="both"/>
      </w:pPr>
      <w:r w:rsidRPr="008B0DE4">
        <w:t xml:space="preserve">O SAJ5/PG foi alterado para permitir o registro do cumprimento de apresentações à Justiça </w:t>
      </w:r>
      <w:r>
        <w:t xml:space="preserve">com a </w:t>
      </w:r>
      <w:r w:rsidRPr="008B0DE4">
        <w:t>utiliza</w:t>
      </w:r>
      <w:r>
        <w:t>ção</w:t>
      </w:r>
      <w:r w:rsidRPr="008B0DE4">
        <w:t xml:space="preserve"> </w:t>
      </w:r>
      <w:r>
        <w:t xml:space="preserve">da </w:t>
      </w:r>
      <w:r w:rsidRPr="008B0DE4">
        <w:t xml:space="preserve">leitura biométrica de digitais. Para </w:t>
      </w:r>
      <w:r>
        <w:t xml:space="preserve">o </w:t>
      </w:r>
      <w:r w:rsidRPr="008B0DE4">
        <w:t>máximo aproveitamento da funcionalidade, deve-se manter o histórico de partes de todos os processos com apresentações à Justiça devidamente alimentado e revisado de acordo com os tipos de medida/eventos do processo.</w:t>
      </w:r>
    </w:p>
    <w:p w14:paraId="757B2642" w14:textId="77777777" w:rsidR="007A57EE" w:rsidRPr="008B0DE4" w:rsidRDefault="007A57EE" w:rsidP="007A57EE">
      <w:pPr>
        <w:pStyle w:val="TJSC-CorpodoTexto"/>
        <w:jc w:val="both"/>
      </w:pPr>
      <w:r w:rsidRPr="008B0DE4">
        <w:t xml:space="preserve">O leitor biométrico controla a apresentação de réus ou apenados/reeducandos </w:t>
      </w:r>
      <w:r>
        <w:t xml:space="preserve">e </w:t>
      </w:r>
      <w:r w:rsidRPr="008B0DE4">
        <w:t xml:space="preserve">valida as previsões de apresentação e os atrasos por meio do histórico de partes. Se o histórico de partes não estiver alimentado, quando a parte se apresentar via leitor biométrico, o sistema emitirá uma mensagem solicitando ao réu/apenado que se dirija ao balcão de atendimento </w:t>
      </w:r>
      <w:r>
        <w:t>em vez</w:t>
      </w:r>
      <w:r w:rsidRPr="008B0DE4">
        <w:t xml:space="preserve"> de registrar o comparecimento com o máximo de aproveitamento da funcionalidade.</w:t>
      </w:r>
    </w:p>
    <w:p w14:paraId="1077AC0A" w14:textId="77777777" w:rsidR="007A57EE" w:rsidRPr="008B0DE4" w:rsidRDefault="007A57EE" w:rsidP="007A57EE">
      <w:pPr>
        <w:pStyle w:val="TJSC-CorpodoTexto"/>
        <w:jc w:val="both"/>
      </w:pPr>
      <w:r w:rsidRPr="008B0DE4">
        <w:t>Nesse sentido, tendo em conta a proximidade da instalação da funcionalidade nas unidades criminais e nas que controlam apresentações à Justiça no Estado, servem as presentes orientações para auxiliar o saneamento de eventual acervo não alimentado ou não revisado.</w:t>
      </w:r>
    </w:p>
    <w:p w14:paraId="5A0FAB10" w14:textId="77777777" w:rsidR="007A57EE" w:rsidRDefault="007A57EE" w:rsidP="007A57EE">
      <w:pPr>
        <w:pStyle w:val="TJSC-CorpodoTexto"/>
        <w:jc w:val="both"/>
      </w:pPr>
      <w:r w:rsidRPr="008B0DE4">
        <w:t>Des</w:t>
      </w:r>
      <w:r>
        <w:t>s</w:t>
      </w:r>
      <w:r w:rsidRPr="008B0DE4">
        <w:t>a forma, para permitir o máximo de aproveitamento da ferramenta, ressalta-se por meio desta</w:t>
      </w:r>
      <w:r>
        <w:t>s</w:t>
      </w:r>
      <w:r w:rsidRPr="008B0DE4">
        <w:t xml:space="preserve"> orientaç</w:t>
      </w:r>
      <w:r>
        <w:t>ões</w:t>
      </w:r>
      <w:r w:rsidRPr="008B0DE4">
        <w:t xml:space="preserve"> a importância de se manter o histórico de partes de todos os processos com apresentações à Justiça devidamente alimentado e revisado de acordo com os tipos de medidas/eventos para lançamento.</w:t>
      </w:r>
    </w:p>
    <w:p w14:paraId="26225DD4" w14:textId="77777777" w:rsidR="007A57EE" w:rsidRDefault="007A57EE" w:rsidP="007A57EE">
      <w:pPr>
        <w:pStyle w:val="TJSC-CorpodoTexto"/>
        <w:jc w:val="both"/>
        <w:rPr>
          <w:color w:val="000000" w:themeColor="text1"/>
        </w:rPr>
      </w:pPr>
    </w:p>
    <w:p w14:paraId="0F765FC4" w14:textId="77777777" w:rsidR="007A57EE" w:rsidRDefault="007A57EE" w:rsidP="00175F06">
      <w:pPr>
        <w:pStyle w:val="TJSC-TtuloMaior"/>
        <w:ind w:left="0"/>
      </w:pPr>
      <w:r w:rsidRPr="008B0DE4">
        <w:t xml:space="preserve">Saneamento do </w:t>
      </w:r>
      <w:r>
        <w:t>h</w:t>
      </w:r>
      <w:r w:rsidRPr="008B0DE4">
        <w:t xml:space="preserve">istórico de </w:t>
      </w:r>
      <w:r>
        <w:t>p</w:t>
      </w:r>
      <w:r w:rsidRPr="008B0DE4">
        <w:t>artes</w:t>
      </w:r>
    </w:p>
    <w:p w14:paraId="4B449C32" w14:textId="77777777" w:rsidR="007A57EE" w:rsidRPr="008B0DE4" w:rsidRDefault="007A57EE" w:rsidP="00684CC7">
      <w:pPr>
        <w:pStyle w:val="TJSC-CorpodoTexto"/>
        <w:jc w:val="both"/>
      </w:pPr>
      <w:r w:rsidRPr="008B0DE4">
        <w:t xml:space="preserve">Duas coisas devem ser verificadas nos históricos de partes de processos em que existe apresentação à </w:t>
      </w:r>
      <w:r>
        <w:t>J</w:t>
      </w:r>
      <w:r w:rsidRPr="008B0DE4">
        <w:t>ustiça em andamento:</w:t>
      </w:r>
    </w:p>
    <w:p w14:paraId="22291AA2" w14:textId="0589A652" w:rsidR="007A57EE" w:rsidRDefault="00684CC7" w:rsidP="00684CC7">
      <w:pPr>
        <w:pStyle w:val="TJSC-CorpodoTexto"/>
        <w:jc w:val="both"/>
      </w:pPr>
      <w:r>
        <w:rPr>
          <w:b/>
        </w:rPr>
        <w:t xml:space="preserve">1. </w:t>
      </w:r>
      <w:r w:rsidR="007A57EE">
        <w:rPr>
          <w:b/>
        </w:rPr>
        <w:t>Lançamento</w:t>
      </w:r>
      <w:r w:rsidR="007A57EE" w:rsidRPr="008B0DE4">
        <w:rPr>
          <w:b/>
        </w:rPr>
        <w:t xml:space="preserve"> do evento que dá início ao acompanhamento das apresentações: </w:t>
      </w:r>
      <w:r w:rsidR="007A57EE" w:rsidRPr="00684CC7">
        <w:t>o</w:t>
      </w:r>
      <w:r w:rsidR="007A57EE" w:rsidRPr="008B0DE4">
        <w:t>s eventos variam de acordo com cada medida/pena que foi aplicada (por exemplo: liberdade provisória, transação penal, pena restritiva)</w:t>
      </w:r>
      <w:r w:rsidR="007A57EE">
        <w:t xml:space="preserve">. Descrevemos abaixo qual evento deve ser utilizado de acordo com cada tipo de medida. </w:t>
      </w:r>
    </w:p>
    <w:p w14:paraId="1DEF84FB" w14:textId="77777777" w:rsidR="007A57EE" w:rsidRPr="00F92FEF" w:rsidRDefault="007A57EE" w:rsidP="00684CC7">
      <w:pPr>
        <w:pStyle w:val="TJSC-CorpodoTexto"/>
        <w:jc w:val="both"/>
      </w:pPr>
    </w:p>
    <w:p w14:paraId="08CD59A5" w14:textId="77777777" w:rsidR="007A57EE" w:rsidRPr="00F92FEF" w:rsidRDefault="007A57EE" w:rsidP="00684CC7">
      <w:pPr>
        <w:pStyle w:val="TJSC-CorpodoTexto"/>
        <w:jc w:val="both"/>
      </w:pPr>
      <w:r w:rsidRPr="00F92FEF">
        <w:t>Atenção: Se dentre as condições da medida aplicada for determinada a “Apresentação à Justiça”, esta deve ser sempre corretamente cadastrada como “Apresentação à Justiça” a fim de permitir o controle e a apresentação de forma automatizada.</w:t>
      </w:r>
    </w:p>
    <w:p w14:paraId="6ECB0BF3" w14:textId="6FAB136B" w:rsidR="007A57EE" w:rsidRDefault="00684CC7" w:rsidP="00684CC7">
      <w:pPr>
        <w:pStyle w:val="TJSC-CorpodoTexto"/>
        <w:jc w:val="both"/>
      </w:pPr>
      <w:r>
        <w:rPr>
          <w:b/>
        </w:rPr>
        <w:t xml:space="preserve">2. </w:t>
      </w:r>
      <w:r w:rsidR="007A57EE" w:rsidRPr="008B0DE4">
        <w:rPr>
          <w:b/>
        </w:rPr>
        <w:t xml:space="preserve">Revisão das datas de apresentações já cumpridas e das ausências: </w:t>
      </w:r>
      <w:r w:rsidR="007A57EE" w:rsidRPr="00CC5BFC">
        <w:t>é</w:t>
      </w:r>
      <w:r w:rsidR="007A57EE">
        <w:t xml:space="preserve"> importante manter sempre em dia as apresentações, ou seja, todas as datas em que a parte se apresentou devem ser lançadas. </w:t>
      </w:r>
      <w:r w:rsidR="007A57EE" w:rsidRPr="002A18D7">
        <w:t xml:space="preserve">Havendo apresentações em aberto (ausências), o fato deve ser certificado e os autos encaminhados ao Ministério Público para análise e, após, ao juiz para decisão. </w:t>
      </w:r>
    </w:p>
    <w:p w14:paraId="6814EAFD" w14:textId="77777777" w:rsidR="007A57EE" w:rsidRDefault="007A57EE" w:rsidP="00684CC7">
      <w:pPr>
        <w:pStyle w:val="TJSC-CorpodoTexto"/>
        <w:jc w:val="both"/>
      </w:pPr>
      <w:r w:rsidRPr="002A18D7">
        <w:t>Enquanto não houver decisão do juiz a respeito, as apresentações devem permanecer abert</w:t>
      </w:r>
      <w:r>
        <w:t>as</w:t>
      </w:r>
      <w:r w:rsidRPr="002A18D7">
        <w:t xml:space="preserve"> no SAJ. Após a decisão,</w:t>
      </w:r>
      <w:r>
        <w:t xml:space="preserve"> dependendo do caso, o usuário deverá </w:t>
      </w:r>
      <w:r w:rsidRPr="002A18D7">
        <w:t>alimentar o sistema</w:t>
      </w:r>
      <w:r>
        <w:t xml:space="preserve"> da seguinte maneira: </w:t>
      </w:r>
    </w:p>
    <w:p w14:paraId="462A17DE" w14:textId="4F43206C" w:rsidR="007A57EE" w:rsidRDefault="007A57EE" w:rsidP="0086733B">
      <w:pPr>
        <w:pStyle w:val="TJSC-CorpodoTexto"/>
        <w:numPr>
          <w:ilvl w:val="0"/>
          <w:numId w:val="8"/>
        </w:numPr>
        <w:jc w:val="both"/>
      </w:pPr>
      <w:r w:rsidRPr="00781A8C">
        <w:t xml:space="preserve">Marcar o </w:t>
      </w:r>
      <w:r w:rsidRPr="00F92FEF">
        <w:rPr>
          <w:i/>
        </w:rPr>
        <w:t>checkbox</w:t>
      </w:r>
      <w:r w:rsidRPr="00781A8C">
        <w:t xml:space="preserve"> “Ausência”: quando o juiz, por exemplo, está ciente da ausência e permite que a </w:t>
      </w:r>
      <w:r>
        <w:t>parte continue se apresentando somente devendo se apresentar uma vez mais para “compensar” a falta. Ao marcar essa opção, o sistema questiona o usuário se deseja incluir mais uma linha de apresentação.</w:t>
      </w:r>
    </w:p>
    <w:p w14:paraId="27BA324E" w14:textId="77777777" w:rsidR="007A57EE" w:rsidRPr="00781A8C" w:rsidRDefault="007A57EE" w:rsidP="0086733B">
      <w:pPr>
        <w:pStyle w:val="TJSC-CorpodoTexto"/>
        <w:numPr>
          <w:ilvl w:val="0"/>
          <w:numId w:val="8"/>
        </w:numPr>
        <w:jc w:val="both"/>
      </w:pPr>
      <w:r w:rsidRPr="00781A8C">
        <w:t xml:space="preserve">Marcar ambos os </w:t>
      </w:r>
      <w:r w:rsidRPr="00F92FEF">
        <w:rPr>
          <w:i/>
        </w:rPr>
        <w:t>checkboxes</w:t>
      </w:r>
      <w:r w:rsidRPr="00781A8C">
        <w:t xml:space="preserve"> “Ausência” e “Abonada”: quando o juiz considera a justificativa apresentada e abona a falta. Ao marcar essa opção, o sistema questiona se o usuário deseja excluir a linha de apresentação eventualmente inserida na marcação do </w:t>
      </w:r>
      <w:r w:rsidRPr="00DA1297">
        <w:rPr>
          <w:i/>
        </w:rPr>
        <w:t>checkbox</w:t>
      </w:r>
      <w:r w:rsidRPr="00781A8C">
        <w:t xml:space="preserve"> “Ausência”</w:t>
      </w:r>
      <w:r>
        <w:t>.</w:t>
      </w:r>
    </w:p>
    <w:p w14:paraId="0CE87BC8" w14:textId="3799A12F" w:rsidR="007A57EE" w:rsidRPr="00D54A69" w:rsidRDefault="007A57EE" w:rsidP="00106E92">
      <w:pPr>
        <w:pStyle w:val="PargrafodaLista"/>
        <w:ind w:left="1440"/>
        <w:jc w:val="both"/>
        <w:rPr>
          <w:b/>
        </w:rPr>
      </w:pPr>
      <w:r w:rsidRPr="00781A8C">
        <w:rPr>
          <w:rFonts w:ascii="Arial" w:hAnsi="Arial" w:cs="Arial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0135D8D7" wp14:editId="09CC61DD">
            <wp:extent cx="5434299" cy="2705100"/>
            <wp:effectExtent l="57150" t="57150" r="90805" b="952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4718" cy="271028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E16BC4" w14:textId="77777777" w:rsidR="007A57EE" w:rsidRDefault="007A57EE" w:rsidP="007A57EE">
      <w:pPr>
        <w:pStyle w:val="Legenda"/>
        <w:jc w:val="center"/>
        <w:rPr>
          <w:b/>
          <w:i w:val="0"/>
        </w:rPr>
      </w:pPr>
      <w:r w:rsidRPr="00E34267">
        <w:rPr>
          <w:b/>
          <w:i w:val="0"/>
        </w:rPr>
        <w:t xml:space="preserve">Figura </w:t>
      </w:r>
      <w:r w:rsidRPr="00E34267">
        <w:rPr>
          <w:b/>
          <w:i w:val="0"/>
        </w:rPr>
        <w:fldChar w:fldCharType="begin"/>
      </w:r>
      <w:r w:rsidRPr="00E34267">
        <w:rPr>
          <w:b/>
          <w:i w:val="0"/>
        </w:rPr>
        <w:instrText xml:space="preserve"> SEQ Figura \* ARABIC </w:instrText>
      </w:r>
      <w:r w:rsidRPr="00E3426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</w:t>
      </w:r>
      <w:r w:rsidRPr="00E34267">
        <w:rPr>
          <w:b/>
          <w:i w:val="0"/>
        </w:rPr>
        <w:fldChar w:fldCharType="end"/>
      </w:r>
      <w:r w:rsidRPr="00E34267">
        <w:rPr>
          <w:b/>
          <w:i w:val="0"/>
        </w:rPr>
        <w:t xml:space="preserve"> - Ausência x Abonada</w:t>
      </w:r>
    </w:p>
    <w:p w14:paraId="5BF01C50" w14:textId="77777777" w:rsidR="007A57EE" w:rsidRPr="00F92FEF" w:rsidRDefault="007A57EE" w:rsidP="007A57EE"/>
    <w:p w14:paraId="257B084C" w14:textId="77777777" w:rsidR="007A57EE" w:rsidRPr="00D54A69" w:rsidRDefault="007A57EE" w:rsidP="004F0DA7">
      <w:pPr>
        <w:pStyle w:val="TJSC-CorpodoTexto"/>
        <w:jc w:val="both"/>
      </w:pPr>
      <w:r w:rsidRPr="00D54A69">
        <w:t xml:space="preserve">Na eventualidade da parte comparecer para a próxima apresentação, enquanto ainda não houver decisão a respeito das ausências anteriores, deve-se registrar manualmente a apresentação mediante o preenchimento da data de apresentação no histórico de partes. </w:t>
      </w:r>
    </w:p>
    <w:p w14:paraId="7BFA2046" w14:textId="77777777" w:rsidR="007A57EE" w:rsidRDefault="007A57EE" w:rsidP="004F0DA7">
      <w:pPr>
        <w:pStyle w:val="TJSC-CorpodoTexto"/>
        <w:jc w:val="both"/>
      </w:pPr>
      <w:r w:rsidRPr="00D54A69">
        <w:t xml:space="preserve">Após o preenchimento da data, clicar no ícone destacado na </w:t>
      </w:r>
      <w:r w:rsidRPr="00656934">
        <w:rPr>
          <w:b/>
        </w:rPr>
        <w:fldChar w:fldCharType="begin"/>
      </w:r>
      <w:r w:rsidRPr="00656934">
        <w:rPr>
          <w:b/>
        </w:rPr>
        <w:instrText xml:space="preserve"> REF _Ref522107118 \h  \* MERGEFORMAT </w:instrText>
      </w:r>
      <w:r w:rsidRPr="00656934">
        <w:rPr>
          <w:b/>
        </w:rPr>
      </w:r>
      <w:r w:rsidRPr="00656934">
        <w:rPr>
          <w:b/>
        </w:rPr>
        <w:fldChar w:fldCharType="separate"/>
      </w:r>
      <w:r w:rsidR="00B8081D" w:rsidRPr="004F0DA7">
        <w:rPr>
          <w:b/>
        </w:rPr>
        <w:t xml:space="preserve">Figura </w:t>
      </w:r>
      <w:r w:rsidR="00B8081D" w:rsidRPr="00B8081D">
        <w:rPr>
          <w:b/>
        </w:rPr>
        <w:t>2</w:t>
      </w:r>
      <w:r w:rsidRPr="00656934">
        <w:rPr>
          <w:b/>
        </w:rPr>
        <w:fldChar w:fldCharType="end"/>
      </w:r>
      <w:r w:rsidRPr="00656934">
        <w:rPr>
          <w:b/>
        </w:rPr>
        <w:t>.</w:t>
      </w:r>
      <w:r w:rsidRPr="00D54A69">
        <w:t xml:space="preserve"> O sistema certificará nos autos digitais gerando a certidão modelo </w:t>
      </w:r>
      <w:r w:rsidRPr="00656934">
        <w:rPr>
          <w:b/>
        </w:rPr>
        <w:t>“13047 - Apresentação à Justiça – Manual”</w:t>
      </w:r>
      <w:r w:rsidRPr="00D54A69">
        <w:t>, sugerindo a impressão de via para entrega à parte.</w:t>
      </w:r>
    </w:p>
    <w:p w14:paraId="45B5275F" w14:textId="77777777" w:rsidR="007A57EE" w:rsidRPr="00D54A69" w:rsidRDefault="007A57EE" w:rsidP="007A57EE">
      <w:pPr>
        <w:ind w:firstLine="708"/>
        <w:jc w:val="both"/>
        <w:rPr>
          <w:rFonts w:cs="Arial"/>
        </w:rPr>
      </w:pPr>
    </w:p>
    <w:p w14:paraId="51B450C9" w14:textId="77777777" w:rsidR="007A57EE" w:rsidRPr="00D54A69" w:rsidRDefault="007A57EE" w:rsidP="007A57EE">
      <w:pPr>
        <w:keepNext/>
        <w:jc w:val="center"/>
      </w:pPr>
      <w:r>
        <w:rPr>
          <w:noProof/>
          <w:lang w:eastAsia="pt-BR" w:bidi="ar-SA"/>
        </w:rPr>
        <w:drawing>
          <wp:inline distT="0" distB="0" distL="0" distR="0" wp14:anchorId="00D2FFC8" wp14:editId="39AB45E1">
            <wp:extent cx="5318943" cy="2612297"/>
            <wp:effectExtent l="57150" t="57150" r="91440" b="933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067" cy="261383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8C10BB" w14:textId="77777777" w:rsidR="007A57EE" w:rsidRPr="004F0DA7" w:rsidRDefault="007A57EE" w:rsidP="007A57EE">
      <w:pPr>
        <w:pStyle w:val="Legenda"/>
        <w:jc w:val="center"/>
        <w:rPr>
          <w:rFonts w:cs="Arial"/>
          <w:b/>
          <w:i w:val="0"/>
        </w:rPr>
      </w:pPr>
      <w:bookmarkStart w:id="1" w:name="_Ref522107118"/>
      <w:bookmarkStart w:id="2" w:name="_Ref522021415"/>
      <w:r w:rsidRPr="004F0DA7">
        <w:rPr>
          <w:b/>
          <w:i w:val="0"/>
        </w:rPr>
        <w:t xml:space="preserve">Figura </w:t>
      </w:r>
      <w:r w:rsidRPr="004F0DA7">
        <w:rPr>
          <w:b/>
          <w:i w:val="0"/>
        </w:rPr>
        <w:fldChar w:fldCharType="begin"/>
      </w:r>
      <w:r w:rsidRPr="004F0DA7">
        <w:rPr>
          <w:b/>
          <w:i w:val="0"/>
        </w:rPr>
        <w:instrText xml:space="preserve"> SEQ Figura \* ARABIC </w:instrText>
      </w:r>
      <w:r w:rsidRPr="004F0DA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2</w:t>
      </w:r>
      <w:r w:rsidRPr="004F0DA7">
        <w:rPr>
          <w:b/>
          <w:i w:val="0"/>
        </w:rPr>
        <w:fldChar w:fldCharType="end"/>
      </w:r>
      <w:bookmarkEnd w:id="1"/>
      <w:r w:rsidRPr="004F0DA7">
        <w:rPr>
          <w:b/>
          <w:i w:val="0"/>
        </w:rPr>
        <w:t xml:space="preserve"> - Registro manual</w:t>
      </w:r>
      <w:bookmarkEnd w:id="2"/>
    </w:p>
    <w:p w14:paraId="516A8404" w14:textId="77777777" w:rsidR="007A57EE" w:rsidRDefault="007A57EE" w:rsidP="007A57EE">
      <w:pPr>
        <w:ind w:left="709"/>
        <w:jc w:val="center"/>
        <w:rPr>
          <w:rFonts w:cs="Arial"/>
        </w:rPr>
      </w:pPr>
    </w:p>
    <w:p w14:paraId="7E575C20" w14:textId="77777777" w:rsidR="007A57EE" w:rsidRPr="00E538BE" w:rsidRDefault="007A57EE" w:rsidP="004F0DA7">
      <w:pPr>
        <w:pStyle w:val="TJSC-CorpodoTexto"/>
        <w:jc w:val="both"/>
      </w:pPr>
      <w:r w:rsidRPr="00E538BE">
        <w:t>Quando for o caso, além de informar sobre as ausências, também devem ser lançados os eventos de prorrogação, suspensão ou revogação de benefícios no histórico de parte (dependendo da medida</w:t>
      </w:r>
      <w:r>
        <w:t>,</w:t>
      </w:r>
      <w:r w:rsidRPr="00E538BE">
        <w:t xml:space="preserve"> é um evento diferente, conforme demonstrado a seguir)</w:t>
      </w:r>
      <w:r>
        <w:t>.</w:t>
      </w:r>
    </w:p>
    <w:p w14:paraId="68B06420" w14:textId="77777777" w:rsidR="007A57EE" w:rsidRDefault="007A57EE" w:rsidP="004F0DA7">
      <w:pPr>
        <w:pStyle w:val="TJSC-CorpodoTexto"/>
        <w:jc w:val="both"/>
      </w:pPr>
      <w:r>
        <w:t>No item n. 26 da “Cartilha de Orientações para extração de Relatórios Correcionais e Realização de Ajustes” da Corregedoria-Geral da Justiça estão disponíveis as instruções para gerar o relatório com os processos que possuem apresentações à Justiça, o que deve corresponder às fichas de apresentações.</w:t>
      </w:r>
    </w:p>
    <w:p w14:paraId="51FE09CC" w14:textId="77777777" w:rsidR="007A57EE" w:rsidRDefault="007A57EE" w:rsidP="004F0DA7">
      <w:pPr>
        <w:pStyle w:val="TJSC-CorpodoTexto"/>
        <w:jc w:val="both"/>
      </w:pPr>
      <w:r w:rsidRPr="00F92FEF">
        <w:rPr>
          <w:i/>
        </w:rPr>
        <w:t>Link</w:t>
      </w:r>
      <w:r w:rsidRPr="00BC76C2">
        <w:t xml:space="preserve"> </w:t>
      </w:r>
      <w:r>
        <w:t xml:space="preserve">para acesso à cartilha: </w:t>
      </w:r>
      <w:hyperlink r:id="rId10" w:history="1">
        <w:r w:rsidRPr="00A226D4">
          <w:rPr>
            <w:rStyle w:val="Hyperlink"/>
          </w:rPr>
          <w:t>http://cgj.tjsc.jus.br/intranet/</w:t>
        </w:r>
      </w:hyperlink>
      <w:r>
        <w:t xml:space="preserve"> (</w:t>
      </w:r>
      <w:r w:rsidRPr="00F92FEF">
        <w:rPr>
          <w:i/>
        </w:rPr>
        <w:t>menu</w:t>
      </w:r>
      <w:r>
        <w:t xml:space="preserve"> à direita)</w:t>
      </w:r>
    </w:p>
    <w:p w14:paraId="19CABFB6" w14:textId="77777777" w:rsidR="007A57EE" w:rsidRDefault="007A57EE" w:rsidP="007A57EE">
      <w:pPr>
        <w:pStyle w:val="PargrafodaLista"/>
        <w:jc w:val="both"/>
        <w:rPr>
          <w:rFonts w:ascii="Arial" w:hAnsi="Arial" w:cs="Arial"/>
        </w:rPr>
      </w:pPr>
    </w:p>
    <w:p w14:paraId="1229727A" w14:textId="77777777" w:rsidR="007A57EE" w:rsidRPr="00B84C76" w:rsidRDefault="007A57EE" w:rsidP="007A57EE">
      <w:pPr>
        <w:pStyle w:val="PargrafodaLista"/>
        <w:keepNext/>
        <w:ind w:left="0"/>
        <w:jc w:val="center"/>
        <w:rPr>
          <w:b/>
        </w:rPr>
      </w:pPr>
      <w:r w:rsidRPr="00B84C76">
        <w:rPr>
          <w:b/>
          <w:noProof/>
          <w:lang w:eastAsia="pt-BR"/>
        </w:rPr>
        <w:lastRenderedPageBreak/>
        <w:drawing>
          <wp:inline distT="0" distB="0" distL="0" distR="0" wp14:anchorId="7AA49CFE" wp14:editId="1827BE94">
            <wp:extent cx="4748288" cy="3407434"/>
            <wp:effectExtent l="57150" t="57150" r="109855" b="1168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306" cy="341534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195F20" w14:textId="77777777" w:rsidR="007A57EE" w:rsidRPr="00B84C76" w:rsidRDefault="007A57EE" w:rsidP="007A57EE">
      <w:pPr>
        <w:pStyle w:val="Legenda"/>
        <w:jc w:val="center"/>
        <w:rPr>
          <w:rFonts w:cs="Arial"/>
          <w:b/>
          <w:i w:val="0"/>
        </w:rPr>
      </w:pPr>
      <w:r w:rsidRPr="00B84C76">
        <w:rPr>
          <w:b/>
          <w:i w:val="0"/>
        </w:rPr>
        <w:t xml:space="preserve">Figura </w:t>
      </w:r>
      <w:r w:rsidRPr="00B84C76">
        <w:rPr>
          <w:b/>
          <w:i w:val="0"/>
        </w:rPr>
        <w:fldChar w:fldCharType="begin"/>
      </w:r>
      <w:r w:rsidRPr="00B84C76">
        <w:rPr>
          <w:b/>
          <w:i w:val="0"/>
        </w:rPr>
        <w:instrText xml:space="preserve"> SEQ Figura \* ARABIC </w:instrText>
      </w:r>
      <w:r w:rsidRPr="00B84C76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3</w:t>
      </w:r>
      <w:r w:rsidRPr="00B84C76">
        <w:rPr>
          <w:b/>
          <w:i w:val="0"/>
        </w:rPr>
        <w:fldChar w:fldCharType="end"/>
      </w:r>
      <w:r w:rsidRPr="00B84C76">
        <w:rPr>
          <w:b/>
          <w:i w:val="0"/>
        </w:rPr>
        <w:t xml:space="preserve"> - Acesso </w:t>
      </w:r>
      <w:r>
        <w:rPr>
          <w:b/>
          <w:i w:val="0"/>
        </w:rPr>
        <w:t>à</w:t>
      </w:r>
      <w:r w:rsidRPr="00B84C76">
        <w:rPr>
          <w:b/>
          <w:i w:val="0"/>
        </w:rPr>
        <w:t xml:space="preserve"> Cartilha de Orientação da CGJ</w:t>
      </w:r>
    </w:p>
    <w:p w14:paraId="35A645C7" w14:textId="77777777" w:rsidR="007A57EE" w:rsidRDefault="007A57EE" w:rsidP="007A57EE">
      <w:pPr>
        <w:ind w:firstLine="708"/>
        <w:jc w:val="both"/>
        <w:rPr>
          <w:rFonts w:cs="Arial"/>
          <w:color w:val="000000" w:themeColor="text1"/>
        </w:rPr>
      </w:pPr>
    </w:p>
    <w:p w14:paraId="46CFB68A" w14:textId="77777777" w:rsidR="007A57EE" w:rsidRDefault="007A57EE" w:rsidP="004F0DA7">
      <w:pPr>
        <w:pStyle w:val="TJSC-CorpodoTexto"/>
        <w:jc w:val="both"/>
      </w:pPr>
      <w:r w:rsidRPr="004F0DA7">
        <w:rPr>
          <w:b/>
        </w:rPr>
        <w:t>Observações</w:t>
      </w:r>
      <w:r>
        <w:t>:</w:t>
      </w:r>
    </w:p>
    <w:p w14:paraId="299A9E68" w14:textId="77777777" w:rsidR="007A57EE" w:rsidRDefault="007A57EE" w:rsidP="0086733B">
      <w:pPr>
        <w:pStyle w:val="TJSC-CorpodoTexto"/>
        <w:numPr>
          <w:ilvl w:val="0"/>
          <w:numId w:val="9"/>
        </w:numPr>
        <w:jc w:val="both"/>
      </w:pPr>
      <w:r>
        <w:t>Se a unidade não mantém em dia o registro no histórico de partes, provavelmente o relatório da CGJ não corresponderá às fichas de apresentações. O ideal é que sejam saneados todos os processos em que existe em andamento alguma medida de apresentação à Justiça para que a biometria possa funcionar corretamente.</w:t>
      </w:r>
    </w:p>
    <w:p w14:paraId="5CC8EB6B" w14:textId="77777777" w:rsidR="007A57EE" w:rsidRDefault="007A57EE" w:rsidP="0086733B">
      <w:pPr>
        <w:pStyle w:val="TJSC-CorpodoTexto"/>
        <w:numPr>
          <w:ilvl w:val="0"/>
          <w:numId w:val="9"/>
        </w:numPr>
        <w:jc w:val="both"/>
      </w:pPr>
      <w:r w:rsidRPr="00D15D6F">
        <w:t xml:space="preserve">Embora somente as apresentações à </w:t>
      </w:r>
      <w:r>
        <w:t>J</w:t>
      </w:r>
      <w:r w:rsidRPr="00D15D6F">
        <w:t xml:space="preserve">ustiça possam ser cumpridas </w:t>
      </w:r>
      <w:r>
        <w:t xml:space="preserve">com a </w:t>
      </w:r>
      <w:r w:rsidRPr="00D15D6F">
        <w:t>utiliza</w:t>
      </w:r>
      <w:r>
        <w:t>ção</w:t>
      </w:r>
      <w:r w:rsidRPr="00D15D6F">
        <w:t xml:space="preserve"> </w:t>
      </w:r>
      <w:r>
        <w:t>d</w:t>
      </w:r>
      <w:r w:rsidRPr="00D15D6F">
        <w:t>os dados biométricos, é imprescindível o lançamento de todas as condições impostas na sentença/audiência, permitindo com isso a extração de relatórios pela Corregedoria.</w:t>
      </w:r>
    </w:p>
    <w:p w14:paraId="468805B7" w14:textId="77777777" w:rsidR="007A57EE" w:rsidRPr="00D15D6F" w:rsidRDefault="007A57EE" w:rsidP="0086733B">
      <w:pPr>
        <w:pStyle w:val="TJSC-CorpodoTexto"/>
        <w:numPr>
          <w:ilvl w:val="0"/>
          <w:numId w:val="9"/>
        </w:numPr>
        <w:jc w:val="both"/>
      </w:pPr>
      <w:r>
        <w:t>Na</w:t>
      </w:r>
      <w:r w:rsidRPr="00D15D6F">
        <w:t xml:space="preserve"> tela de cadastro de condições é sempre obrigatório informar uma data de término. Como a duração da liberdade provisória, via de regra, é até a sentença condenatória, não costuma haver uma data de término específica. Quando o magistrado não fixar data de término, sugere-se utilizar </w:t>
      </w:r>
      <w:r>
        <w:t>um (</w:t>
      </w:r>
      <w:r w:rsidRPr="00D15D6F">
        <w:t>1</w:t>
      </w:r>
      <w:r>
        <w:t>)</w:t>
      </w:r>
      <w:r w:rsidRPr="00D15D6F">
        <w:t xml:space="preserve"> ano a contar da data de início. Havendo necessidade, é possível incluir ou exc</w:t>
      </w:r>
      <w:r>
        <w:t>luir as linhas de apresentações.</w:t>
      </w:r>
    </w:p>
    <w:p w14:paraId="4720783C" w14:textId="77777777" w:rsidR="004F0DA7" w:rsidRDefault="004F0DA7" w:rsidP="004F0DA7">
      <w:pPr>
        <w:pStyle w:val="TJSC-CorpodoTexto"/>
        <w:jc w:val="both"/>
        <w:rPr>
          <w:b/>
        </w:rPr>
      </w:pPr>
    </w:p>
    <w:p w14:paraId="1BC94A8A" w14:textId="77777777" w:rsidR="00106E92" w:rsidRDefault="00106E92" w:rsidP="004F0DA7">
      <w:pPr>
        <w:pStyle w:val="TJSC-CorpodoTexto"/>
        <w:jc w:val="both"/>
        <w:rPr>
          <w:b/>
        </w:rPr>
      </w:pPr>
    </w:p>
    <w:p w14:paraId="143D4808" w14:textId="77777777" w:rsidR="00106E92" w:rsidRDefault="00106E92" w:rsidP="004F0DA7">
      <w:pPr>
        <w:pStyle w:val="TJSC-CorpodoTexto"/>
        <w:jc w:val="both"/>
        <w:rPr>
          <w:b/>
        </w:rPr>
      </w:pPr>
    </w:p>
    <w:p w14:paraId="6B5012F9" w14:textId="77777777" w:rsidR="007A57EE" w:rsidRPr="008B0DE4" w:rsidRDefault="007A57EE" w:rsidP="00106E92">
      <w:pPr>
        <w:pStyle w:val="TJSC-TtuloMaior"/>
        <w:ind w:left="0"/>
      </w:pPr>
      <w:r w:rsidRPr="008B0DE4">
        <w:lastRenderedPageBreak/>
        <w:t>Relação de eventos que devem ser utilizados de acordo com cada medida</w:t>
      </w:r>
    </w:p>
    <w:p w14:paraId="79F4BDF5" w14:textId="77777777" w:rsidR="007A57EE" w:rsidRPr="004F0DA7" w:rsidRDefault="007A57EE" w:rsidP="004F0DA7">
      <w:pPr>
        <w:pStyle w:val="TJSC-CorpodoTexto"/>
        <w:jc w:val="both"/>
      </w:pPr>
      <w:r w:rsidRPr="004F0DA7">
        <w:t xml:space="preserve">De forma resumida, descrevemos abaixo os eventos referentes a cada uma das medidas/penas possíveis de serem acompanhadas por biometria: </w:t>
      </w:r>
    </w:p>
    <w:p w14:paraId="3D286899" w14:textId="29336DF3" w:rsidR="007A57EE" w:rsidRPr="004F0DA7" w:rsidRDefault="00547EFC" w:rsidP="004F0DA7">
      <w:pPr>
        <w:pStyle w:val="TJSC-CorpodoTexto"/>
        <w:jc w:val="both"/>
      </w:pPr>
      <w:r>
        <w:rPr>
          <w:b/>
        </w:rPr>
        <w:t xml:space="preserve">1. </w:t>
      </w:r>
      <w:r w:rsidR="007A57EE" w:rsidRPr="004F0DA7">
        <w:rPr>
          <w:b/>
        </w:rPr>
        <w:t>Liberdade provisória</w:t>
      </w:r>
      <w:r w:rsidR="007A57EE" w:rsidRPr="004F0DA7">
        <w:t>: Liberdade provisória: instituto que permite ao acusado responder ao processo em liberdade até o trânsito em julgado de sentença penal condenatória. É concedida desde que o acusado atenda a certos requisitos e se comprometa a atender às condições que lhe serão impostas. É revogada desde que sejam descumpridas algumas das regras.</w:t>
      </w:r>
    </w:p>
    <w:p w14:paraId="062EA945" w14:textId="77777777" w:rsidR="004F0DA7" w:rsidRPr="007D2911" w:rsidRDefault="004F0DA7" w:rsidP="004F0DA7">
      <w:pPr>
        <w:pStyle w:val="TJSC-CorpodoTexto"/>
        <w:jc w:val="both"/>
      </w:pP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3828"/>
        <w:gridCol w:w="5244"/>
      </w:tblGrid>
      <w:tr w:rsidR="007A57EE" w:rsidRPr="008C5502" w14:paraId="38EB6B1D" w14:textId="77777777" w:rsidTr="00703AC1">
        <w:tc>
          <w:tcPr>
            <w:tcW w:w="9072" w:type="dxa"/>
            <w:gridSpan w:val="2"/>
            <w:shd w:val="clear" w:color="auto" w:fill="DEEAF6" w:themeFill="accent1" w:themeFillTint="33"/>
          </w:tcPr>
          <w:p w14:paraId="52419484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>LIBERDADE PROVISÓRIA</w:t>
            </w:r>
          </w:p>
        </w:tc>
      </w:tr>
      <w:tr w:rsidR="007A57EE" w:rsidRPr="008C5502" w14:paraId="2EC80EF6" w14:textId="77777777" w:rsidTr="00703AC1">
        <w:tc>
          <w:tcPr>
            <w:tcW w:w="3828" w:type="dxa"/>
            <w:shd w:val="clear" w:color="auto" w:fill="FBE4D5" w:themeFill="accent2" w:themeFillTint="33"/>
          </w:tcPr>
          <w:p w14:paraId="3A79053D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>EVENTOS</w:t>
            </w:r>
          </w:p>
        </w:tc>
        <w:tc>
          <w:tcPr>
            <w:tcW w:w="5244" w:type="dxa"/>
            <w:shd w:val="clear" w:color="auto" w:fill="FBE4D5" w:themeFill="accent2" w:themeFillTint="33"/>
          </w:tcPr>
          <w:p w14:paraId="4FCAB67F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 xml:space="preserve">APLICAÇÃO DO EVENTO </w:t>
            </w:r>
            <w:r>
              <w:rPr>
                <w:rFonts w:ascii="Arial" w:hAnsi="Arial" w:cs="Arial"/>
                <w:b/>
              </w:rPr>
              <w:t>E</w:t>
            </w:r>
            <w:r w:rsidRPr="008C5502">
              <w:rPr>
                <w:rFonts w:ascii="Arial" w:hAnsi="Arial" w:cs="Arial"/>
                <w:b/>
              </w:rPr>
              <w:t xml:space="preserve"> COMPORTAMENTOS</w:t>
            </w:r>
          </w:p>
        </w:tc>
      </w:tr>
      <w:tr w:rsidR="007A57EE" w:rsidRPr="008C5502" w14:paraId="664B3837" w14:textId="77777777" w:rsidTr="00703AC1">
        <w:trPr>
          <w:trHeight w:val="90"/>
        </w:trPr>
        <w:tc>
          <w:tcPr>
            <w:tcW w:w="3828" w:type="dxa"/>
          </w:tcPr>
          <w:p w14:paraId="4BF2D1A0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60D44C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698 – Concessão de liberdade provisória</w:t>
            </w:r>
          </w:p>
        </w:tc>
        <w:tc>
          <w:tcPr>
            <w:tcW w:w="5244" w:type="dxa"/>
          </w:tcPr>
          <w:p w14:paraId="46BD3409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822199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Evento inicial para registrar a concessão da liberdade provisória.</w:t>
            </w:r>
          </w:p>
          <w:p w14:paraId="124FCCBE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6E468E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Ao ser lançado, o SAJ abre aba “Liberdade Provisória” e tela que permite o cadastrado das condições impostas.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_Ref521317302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>Figura 4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3956B8A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8C5502" w14:paraId="3BDFC015" w14:textId="77777777" w:rsidTr="00703AC1">
        <w:trPr>
          <w:trHeight w:val="90"/>
        </w:trPr>
        <w:tc>
          <w:tcPr>
            <w:tcW w:w="3828" w:type="dxa"/>
          </w:tcPr>
          <w:p w14:paraId="6EB880D3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331F9B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699 – Revisão da liberdade provisória</w:t>
            </w:r>
          </w:p>
        </w:tc>
        <w:tc>
          <w:tcPr>
            <w:tcW w:w="5244" w:type="dxa"/>
          </w:tcPr>
          <w:p w14:paraId="3F504803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E7789B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Deve ser utilizado quando as condições inicialmente impostas são alteradas. </w:t>
            </w:r>
          </w:p>
          <w:p w14:paraId="1C0A79CC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EF5662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Ao ser lançado, abre tela que permite o cadastrado das novas condições. </w:t>
            </w:r>
            <w:r w:rsidRPr="004F0DA7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_Ref521317302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>Figura 4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70D1CE2E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8C5502" w14:paraId="1B9A103D" w14:textId="77777777" w:rsidTr="00703AC1">
        <w:trPr>
          <w:trHeight w:val="90"/>
        </w:trPr>
        <w:tc>
          <w:tcPr>
            <w:tcW w:w="3828" w:type="dxa"/>
          </w:tcPr>
          <w:p w14:paraId="11D8CBC2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0D9B0E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700 – Revogação da liberdade provisória</w:t>
            </w:r>
          </w:p>
        </w:tc>
        <w:tc>
          <w:tcPr>
            <w:tcW w:w="5244" w:type="dxa"/>
          </w:tcPr>
          <w:p w14:paraId="3602502A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CA1A33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Deve ser utilizado quando ocorre a revogação da liberdade provisória ou quando há a determinação para expedição do PEC. </w:t>
            </w:r>
          </w:p>
          <w:p w14:paraId="115BE02F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B433C2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O SAJ não permite cadastrar PEC se existir liberdade provisória em andamento. É necessário lançar o evento de revogação para poder expedir o PEC.</w:t>
            </w:r>
          </w:p>
          <w:p w14:paraId="7832544B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D8B1A4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Ao ser lançado, o sistema encerra as apresentações abertas.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_Ref519524071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>Figura 5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3D23A5BD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6DC011" w14:textId="77777777" w:rsidR="007A57EE" w:rsidRPr="008C5502" w:rsidRDefault="007A57EE" w:rsidP="007A57EE">
      <w:pPr>
        <w:jc w:val="both"/>
        <w:rPr>
          <w:rFonts w:cs="Arial"/>
        </w:rPr>
      </w:pPr>
    </w:p>
    <w:p w14:paraId="0D6DFFBB" w14:textId="77777777" w:rsidR="007A57EE" w:rsidRDefault="007A57EE" w:rsidP="007A57EE">
      <w:pPr>
        <w:keepNext/>
        <w:spacing w:after="120"/>
        <w:jc w:val="center"/>
        <w:rPr>
          <w:b/>
          <w:noProof/>
          <w:lang w:eastAsia="pt-BR"/>
        </w:rPr>
      </w:pPr>
    </w:p>
    <w:p w14:paraId="4FF85B36" w14:textId="77777777" w:rsidR="007A57EE" w:rsidRDefault="007A57EE" w:rsidP="007A57EE">
      <w:pPr>
        <w:keepNext/>
        <w:spacing w:after="120"/>
        <w:jc w:val="center"/>
        <w:rPr>
          <w:b/>
        </w:rPr>
      </w:pPr>
      <w:r w:rsidRPr="007D2911">
        <w:rPr>
          <w:b/>
          <w:noProof/>
          <w:lang w:eastAsia="pt-BR" w:bidi="ar-SA"/>
        </w:rPr>
        <w:drawing>
          <wp:inline distT="0" distB="0" distL="0" distR="0" wp14:anchorId="47C6E272" wp14:editId="33EA0F79">
            <wp:extent cx="5006903" cy="31887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73" cy="32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0764" w14:textId="77777777" w:rsidR="007A57EE" w:rsidRDefault="007A57EE" w:rsidP="007A57EE">
      <w:pPr>
        <w:pStyle w:val="Legenda"/>
        <w:jc w:val="center"/>
        <w:rPr>
          <w:b/>
          <w:i w:val="0"/>
        </w:rPr>
      </w:pPr>
      <w:bookmarkStart w:id="3" w:name="_Ref521317302"/>
      <w:r w:rsidRPr="007D2911">
        <w:rPr>
          <w:b/>
          <w:i w:val="0"/>
        </w:rPr>
        <w:t xml:space="preserve">Figura </w:t>
      </w:r>
      <w:r w:rsidRPr="007D2911">
        <w:rPr>
          <w:b/>
          <w:i w:val="0"/>
        </w:rPr>
        <w:fldChar w:fldCharType="begin"/>
      </w:r>
      <w:r w:rsidRPr="007D2911">
        <w:rPr>
          <w:b/>
          <w:i w:val="0"/>
        </w:rPr>
        <w:instrText xml:space="preserve"> SEQ Figura \* ARABIC </w:instrText>
      </w:r>
      <w:r w:rsidRPr="007D2911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4</w:t>
      </w:r>
      <w:r w:rsidRPr="007D2911">
        <w:rPr>
          <w:b/>
          <w:i w:val="0"/>
        </w:rPr>
        <w:fldChar w:fldCharType="end"/>
      </w:r>
      <w:bookmarkEnd w:id="3"/>
      <w:r w:rsidRPr="007D2911">
        <w:rPr>
          <w:b/>
          <w:i w:val="0"/>
        </w:rPr>
        <w:t xml:space="preserve"> - Concessão de liberdade provisória</w:t>
      </w:r>
    </w:p>
    <w:p w14:paraId="18B83E2E" w14:textId="77777777" w:rsidR="007A57EE" w:rsidRDefault="007A57EE" w:rsidP="007A57EE"/>
    <w:p w14:paraId="6F361CB0" w14:textId="77777777" w:rsidR="007A57EE" w:rsidRPr="00D33997" w:rsidRDefault="007A57EE" w:rsidP="007A57EE"/>
    <w:p w14:paraId="09F76BB3" w14:textId="77777777" w:rsidR="007A57EE" w:rsidRDefault="007A57EE" w:rsidP="007A57EE">
      <w:pPr>
        <w:keepNext/>
        <w:jc w:val="center"/>
      </w:pPr>
      <w:r>
        <w:rPr>
          <w:noProof/>
          <w:lang w:eastAsia="pt-BR" w:bidi="ar-SA"/>
        </w:rPr>
        <w:drawing>
          <wp:inline distT="0" distB="0" distL="0" distR="0" wp14:anchorId="3560698D" wp14:editId="4EBE22D5">
            <wp:extent cx="5784620" cy="2838091"/>
            <wp:effectExtent l="0" t="0" r="6985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711" cy="28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6AE5" w14:textId="77777777" w:rsidR="007A57EE" w:rsidRPr="007D2911" w:rsidRDefault="007A57EE" w:rsidP="007A57EE">
      <w:pPr>
        <w:pStyle w:val="Legenda"/>
        <w:jc w:val="center"/>
        <w:rPr>
          <w:b/>
          <w:i w:val="0"/>
        </w:rPr>
      </w:pPr>
      <w:bookmarkStart w:id="4" w:name="_Ref519524071"/>
      <w:bookmarkStart w:id="5" w:name="_Ref519524061"/>
      <w:r w:rsidRPr="007D2911">
        <w:rPr>
          <w:b/>
          <w:i w:val="0"/>
        </w:rPr>
        <w:t xml:space="preserve">Figura </w:t>
      </w:r>
      <w:r w:rsidRPr="007D2911">
        <w:rPr>
          <w:b/>
          <w:i w:val="0"/>
        </w:rPr>
        <w:fldChar w:fldCharType="begin"/>
      </w:r>
      <w:r w:rsidRPr="007D2911">
        <w:rPr>
          <w:b/>
          <w:i w:val="0"/>
        </w:rPr>
        <w:instrText xml:space="preserve"> SEQ Figura \* ARABIC </w:instrText>
      </w:r>
      <w:r w:rsidRPr="007D2911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5</w:t>
      </w:r>
      <w:r w:rsidRPr="007D2911">
        <w:rPr>
          <w:b/>
          <w:i w:val="0"/>
        </w:rPr>
        <w:fldChar w:fldCharType="end"/>
      </w:r>
      <w:bookmarkEnd w:id="4"/>
      <w:r w:rsidRPr="007D2911">
        <w:rPr>
          <w:b/>
          <w:i w:val="0"/>
        </w:rPr>
        <w:t xml:space="preserve"> - Revogação da liberdade provisória</w:t>
      </w:r>
      <w:bookmarkEnd w:id="5"/>
    </w:p>
    <w:p w14:paraId="2970CE3A" w14:textId="77777777" w:rsidR="007A57EE" w:rsidRDefault="007A57EE" w:rsidP="007A57EE">
      <w:pPr>
        <w:jc w:val="both"/>
        <w:rPr>
          <w:rFonts w:cs="Arial"/>
          <w:b/>
          <w:color w:val="000000" w:themeColor="text1"/>
        </w:rPr>
      </w:pPr>
    </w:p>
    <w:p w14:paraId="67A4446F" w14:textId="77777777" w:rsidR="007A57EE" w:rsidRDefault="007A57EE" w:rsidP="007A57EE">
      <w:pPr>
        <w:jc w:val="both"/>
        <w:rPr>
          <w:rFonts w:cs="Arial"/>
          <w:b/>
          <w:color w:val="000000" w:themeColor="text1"/>
        </w:rPr>
      </w:pPr>
    </w:p>
    <w:p w14:paraId="575387E8" w14:textId="77777777" w:rsidR="00106E92" w:rsidRDefault="00106E92" w:rsidP="004F0DA7">
      <w:pPr>
        <w:pStyle w:val="TJSC-CorpodoTexto"/>
        <w:jc w:val="both"/>
        <w:rPr>
          <w:b/>
        </w:rPr>
      </w:pPr>
    </w:p>
    <w:p w14:paraId="3A91AB98" w14:textId="77777777" w:rsidR="00106E92" w:rsidRDefault="00106E92" w:rsidP="004F0DA7">
      <w:pPr>
        <w:pStyle w:val="TJSC-CorpodoTexto"/>
        <w:jc w:val="both"/>
        <w:rPr>
          <w:b/>
        </w:rPr>
      </w:pPr>
    </w:p>
    <w:p w14:paraId="0170B7AC" w14:textId="77777777" w:rsidR="00106E92" w:rsidRDefault="00106E92" w:rsidP="004F0DA7">
      <w:pPr>
        <w:pStyle w:val="TJSC-CorpodoTexto"/>
        <w:jc w:val="both"/>
        <w:rPr>
          <w:b/>
        </w:rPr>
      </w:pPr>
    </w:p>
    <w:p w14:paraId="5C42DF9B" w14:textId="77777777" w:rsidR="00106E92" w:rsidRDefault="00106E92" w:rsidP="004F0DA7">
      <w:pPr>
        <w:pStyle w:val="TJSC-CorpodoTexto"/>
        <w:jc w:val="both"/>
        <w:rPr>
          <w:b/>
        </w:rPr>
      </w:pPr>
    </w:p>
    <w:p w14:paraId="0C8917E7" w14:textId="77777777" w:rsidR="00106E92" w:rsidRDefault="00106E92" w:rsidP="004F0DA7">
      <w:pPr>
        <w:pStyle w:val="TJSC-CorpodoTexto"/>
        <w:jc w:val="both"/>
        <w:rPr>
          <w:b/>
        </w:rPr>
      </w:pPr>
    </w:p>
    <w:p w14:paraId="23E24D76" w14:textId="7B6C1814" w:rsidR="007A57EE" w:rsidRPr="001F3056" w:rsidRDefault="00547EFC" w:rsidP="004F0DA7">
      <w:pPr>
        <w:pStyle w:val="TJSC-CorpodoTexto"/>
        <w:jc w:val="both"/>
        <w:rPr>
          <w:b/>
        </w:rPr>
      </w:pPr>
      <w:r>
        <w:rPr>
          <w:b/>
        </w:rPr>
        <w:lastRenderedPageBreak/>
        <w:t xml:space="preserve">2. </w:t>
      </w:r>
      <w:r w:rsidR="007A57EE" w:rsidRPr="001F3056">
        <w:rPr>
          <w:b/>
        </w:rPr>
        <w:t xml:space="preserve">Transação </w:t>
      </w:r>
      <w:r w:rsidR="007A57EE">
        <w:rPr>
          <w:b/>
        </w:rPr>
        <w:t>p</w:t>
      </w:r>
      <w:r w:rsidR="007A57EE" w:rsidRPr="001F3056">
        <w:rPr>
          <w:b/>
        </w:rPr>
        <w:t xml:space="preserve">enal: </w:t>
      </w:r>
      <w:r w:rsidR="007A57EE" w:rsidRPr="001F3056">
        <w:t xml:space="preserve">instituto despenalizador pré-processual inserido </w:t>
      </w:r>
      <w:r w:rsidR="007A57EE">
        <w:t xml:space="preserve">no art. 76 da </w:t>
      </w:r>
      <w:r w:rsidR="007A57EE" w:rsidRPr="001F3056">
        <w:t xml:space="preserve">Lei </w:t>
      </w:r>
      <w:r w:rsidR="007A57EE">
        <w:t xml:space="preserve">n. </w:t>
      </w:r>
      <w:r w:rsidR="007A57EE" w:rsidRPr="001F3056">
        <w:t>9.099/</w:t>
      </w:r>
      <w:r w:rsidR="007A57EE">
        <w:t>19</w:t>
      </w:r>
      <w:r w:rsidR="007A57EE" w:rsidRPr="001F3056">
        <w:t xml:space="preserve">95, </w:t>
      </w:r>
      <w:r w:rsidR="007A57EE">
        <w:t>segundo o qual</w:t>
      </w:r>
      <w:r w:rsidR="007A57EE" w:rsidRPr="001F3056">
        <w:t xml:space="preserve"> o Ministério Público pode propor a aplicação imediata de pena restritiva de direitos ou multas, a ser especificada na proposta. </w:t>
      </w: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3647"/>
        <w:gridCol w:w="5425"/>
      </w:tblGrid>
      <w:tr w:rsidR="007A57EE" w:rsidRPr="008C5502" w14:paraId="2BDD9475" w14:textId="77777777" w:rsidTr="00703AC1">
        <w:trPr>
          <w:trHeight w:val="234"/>
        </w:trPr>
        <w:tc>
          <w:tcPr>
            <w:tcW w:w="9072" w:type="dxa"/>
            <w:gridSpan w:val="2"/>
            <w:shd w:val="clear" w:color="auto" w:fill="DEEAF6" w:themeFill="accent1" w:themeFillTint="33"/>
          </w:tcPr>
          <w:p w14:paraId="17477844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>TRANSAÇÃO PENAL</w:t>
            </w:r>
          </w:p>
        </w:tc>
      </w:tr>
      <w:tr w:rsidR="007A57EE" w:rsidRPr="008C5502" w14:paraId="69041A45" w14:textId="77777777" w:rsidTr="00703AC1">
        <w:trPr>
          <w:trHeight w:val="234"/>
        </w:trPr>
        <w:tc>
          <w:tcPr>
            <w:tcW w:w="3647" w:type="dxa"/>
            <w:shd w:val="clear" w:color="auto" w:fill="FBE4D5" w:themeFill="accent2" w:themeFillTint="33"/>
          </w:tcPr>
          <w:p w14:paraId="6E95187B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>EVENTOS</w:t>
            </w:r>
          </w:p>
        </w:tc>
        <w:tc>
          <w:tcPr>
            <w:tcW w:w="5425" w:type="dxa"/>
            <w:shd w:val="clear" w:color="auto" w:fill="FBE4D5" w:themeFill="accent2" w:themeFillTint="33"/>
          </w:tcPr>
          <w:p w14:paraId="68D90790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 xml:space="preserve">APLICAÇÃO DO EVENTO </w:t>
            </w:r>
            <w:r>
              <w:rPr>
                <w:rFonts w:ascii="Arial" w:hAnsi="Arial" w:cs="Arial"/>
                <w:b/>
              </w:rPr>
              <w:t>E</w:t>
            </w:r>
            <w:r w:rsidRPr="008C5502">
              <w:rPr>
                <w:rFonts w:ascii="Arial" w:hAnsi="Arial" w:cs="Arial"/>
                <w:b/>
              </w:rPr>
              <w:t xml:space="preserve"> COMPORTAMENTOS</w:t>
            </w:r>
          </w:p>
        </w:tc>
      </w:tr>
      <w:tr w:rsidR="007A57EE" w:rsidRPr="008C5502" w14:paraId="3BB72098" w14:textId="77777777" w:rsidTr="00703AC1">
        <w:trPr>
          <w:trHeight w:val="234"/>
        </w:trPr>
        <w:tc>
          <w:tcPr>
            <w:tcW w:w="3647" w:type="dxa"/>
          </w:tcPr>
          <w:p w14:paraId="5D70A5AD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90CB2B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201 – Concessão de transação penal</w:t>
            </w:r>
          </w:p>
          <w:p w14:paraId="5ECF0AFC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25" w:type="dxa"/>
          </w:tcPr>
          <w:p w14:paraId="47E541A2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13C6C2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Evento inicial para registrar a concessão da transação penal.</w:t>
            </w:r>
          </w:p>
          <w:p w14:paraId="2EBCD153" w14:textId="329C218D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Ao ser lançado abre aba Transação” e tela que permite o cadastrado das condições impostas.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_Ref519524328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>Figura 6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1CB7369F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8C5502" w14:paraId="77EE01E7" w14:textId="77777777" w:rsidTr="00703AC1">
        <w:trPr>
          <w:trHeight w:val="234"/>
        </w:trPr>
        <w:tc>
          <w:tcPr>
            <w:tcW w:w="3647" w:type="dxa"/>
          </w:tcPr>
          <w:p w14:paraId="7B6A2ED9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942D8C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209 – Trânsito em julgado/transação penal (art. 76 da Lei n. 9099/1995)</w:t>
            </w:r>
          </w:p>
        </w:tc>
        <w:tc>
          <w:tcPr>
            <w:tcW w:w="5425" w:type="dxa"/>
          </w:tcPr>
          <w:p w14:paraId="56A4314B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03F77D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Após o trânsito em julgado é imprescindível o lançamento desse evento. Ao ser lançado o sistema inclui a parte no rol da Lei n. 9.099/1995. (Abre aba “Rol Lei 9099”).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_Ref519524328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>Figura 6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573A702B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8C5502" w14:paraId="033A0575" w14:textId="77777777" w:rsidTr="00703AC1">
        <w:trPr>
          <w:trHeight w:val="234"/>
        </w:trPr>
        <w:tc>
          <w:tcPr>
            <w:tcW w:w="3647" w:type="dxa"/>
          </w:tcPr>
          <w:p w14:paraId="00CBE46C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06AD1F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203 – Revogação da transação penal (art. 76 da Lei n. 9099/1995)</w:t>
            </w:r>
          </w:p>
        </w:tc>
        <w:tc>
          <w:tcPr>
            <w:tcW w:w="5425" w:type="dxa"/>
          </w:tcPr>
          <w:p w14:paraId="002C4659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937945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Deve ser utilizado quando ocorre a revogação da transação, por exemplo, quando há o descumprimento das medidas.</w:t>
            </w:r>
          </w:p>
          <w:p w14:paraId="5DA01F59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BBDDD5" w14:textId="723DE2A9" w:rsidR="007A57EE" w:rsidRPr="004F0DA7" w:rsidRDefault="007A57EE" w:rsidP="00703AC1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Ao ser lançado, o sistema encerra as apresentações em aberto.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_Ref519524372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>Figura 7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14:paraId="63EFFB25" w14:textId="77777777" w:rsidR="007A57EE" w:rsidRDefault="007A57EE" w:rsidP="007A57EE">
      <w:pPr>
        <w:jc w:val="both"/>
        <w:rPr>
          <w:rFonts w:cs="Arial"/>
        </w:rPr>
      </w:pPr>
    </w:p>
    <w:p w14:paraId="0882A9A4" w14:textId="77777777" w:rsidR="007A57EE" w:rsidRDefault="007A57EE" w:rsidP="007A57EE">
      <w:pPr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6F4B32B2" wp14:editId="32E4D764">
            <wp:extent cx="5495027" cy="3520096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739" cy="35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B1FA" w14:textId="77777777" w:rsidR="007A57EE" w:rsidRPr="004F0DA7" w:rsidRDefault="007A57EE" w:rsidP="007A57EE">
      <w:pPr>
        <w:pStyle w:val="Legenda"/>
        <w:spacing w:after="0"/>
        <w:jc w:val="center"/>
        <w:rPr>
          <w:rFonts w:cs="Arial"/>
          <w:b/>
          <w:i w:val="0"/>
        </w:rPr>
      </w:pPr>
      <w:bookmarkStart w:id="6" w:name="_Ref519524328"/>
      <w:r w:rsidRPr="004F0DA7">
        <w:rPr>
          <w:b/>
          <w:i w:val="0"/>
        </w:rPr>
        <w:t xml:space="preserve">Figura </w:t>
      </w:r>
      <w:r w:rsidRPr="004F0DA7">
        <w:rPr>
          <w:b/>
          <w:i w:val="0"/>
        </w:rPr>
        <w:fldChar w:fldCharType="begin"/>
      </w:r>
      <w:r w:rsidRPr="004F0DA7">
        <w:rPr>
          <w:b/>
          <w:i w:val="0"/>
        </w:rPr>
        <w:instrText xml:space="preserve"> SEQ Figura \* ARABIC </w:instrText>
      </w:r>
      <w:r w:rsidRPr="004F0DA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6</w:t>
      </w:r>
      <w:r w:rsidRPr="004F0DA7">
        <w:rPr>
          <w:b/>
          <w:i w:val="0"/>
        </w:rPr>
        <w:fldChar w:fldCharType="end"/>
      </w:r>
      <w:bookmarkEnd w:id="6"/>
      <w:r w:rsidRPr="004F0DA7">
        <w:rPr>
          <w:b/>
          <w:i w:val="0"/>
        </w:rPr>
        <w:t xml:space="preserve"> - Concessão de transação e inclusão no rol de culpados</w:t>
      </w:r>
    </w:p>
    <w:p w14:paraId="3D627C8B" w14:textId="77777777" w:rsidR="007A57EE" w:rsidRPr="004F0DA7" w:rsidRDefault="007A57EE" w:rsidP="007A57EE">
      <w:pPr>
        <w:jc w:val="both"/>
        <w:rPr>
          <w:rFonts w:cs="Arial"/>
        </w:rPr>
      </w:pPr>
    </w:p>
    <w:p w14:paraId="0650A73B" w14:textId="77777777" w:rsidR="007A57EE" w:rsidRDefault="007A57EE" w:rsidP="007A57EE">
      <w:pPr>
        <w:jc w:val="both"/>
        <w:rPr>
          <w:rFonts w:cs="Arial"/>
        </w:rPr>
      </w:pPr>
    </w:p>
    <w:p w14:paraId="5F2C47E4" w14:textId="77777777" w:rsidR="007A57EE" w:rsidRDefault="007A57EE" w:rsidP="007A57EE">
      <w:pPr>
        <w:jc w:val="both"/>
        <w:rPr>
          <w:rFonts w:cs="Arial"/>
        </w:rPr>
      </w:pPr>
    </w:p>
    <w:p w14:paraId="40CEDE47" w14:textId="77777777" w:rsidR="007A57EE" w:rsidRDefault="007A57EE" w:rsidP="007A57EE">
      <w:pPr>
        <w:keepNext/>
        <w:jc w:val="center"/>
      </w:pPr>
      <w:r>
        <w:rPr>
          <w:noProof/>
          <w:lang w:eastAsia="pt-BR" w:bidi="ar-SA"/>
        </w:rPr>
        <w:drawing>
          <wp:inline distT="0" distB="0" distL="0" distR="0" wp14:anchorId="1027F391" wp14:editId="67B7CC27">
            <wp:extent cx="5500856" cy="2820837"/>
            <wp:effectExtent l="0" t="0" r="508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67" cy="283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2B93" w14:textId="77777777" w:rsidR="007A57EE" w:rsidRPr="004F0DA7" w:rsidRDefault="007A57EE" w:rsidP="007A57EE">
      <w:pPr>
        <w:pStyle w:val="Legenda"/>
        <w:jc w:val="center"/>
        <w:rPr>
          <w:b/>
          <w:i w:val="0"/>
        </w:rPr>
      </w:pPr>
      <w:bookmarkStart w:id="7" w:name="_Ref519524372"/>
      <w:r w:rsidRPr="004F0DA7">
        <w:rPr>
          <w:b/>
          <w:i w:val="0"/>
        </w:rPr>
        <w:t xml:space="preserve">Figura </w:t>
      </w:r>
      <w:r w:rsidRPr="004F0DA7">
        <w:rPr>
          <w:b/>
          <w:i w:val="0"/>
        </w:rPr>
        <w:fldChar w:fldCharType="begin"/>
      </w:r>
      <w:r w:rsidRPr="004F0DA7">
        <w:rPr>
          <w:b/>
          <w:i w:val="0"/>
        </w:rPr>
        <w:instrText xml:space="preserve"> SEQ Figura \* ARABIC </w:instrText>
      </w:r>
      <w:r w:rsidRPr="004F0DA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7</w:t>
      </w:r>
      <w:r w:rsidRPr="004F0DA7">
        <w:rPr>
          <w:b/>
          <w:i w:val="0"/>
        </w:rPr>
        <w:fldChar w:fldCharType="end"/>
      </w:r>
      <w:bookmarkEnd w:id="7"/>
      <w:r w:rsidRPr="004F0DA7">
        <w:rPr>
          <w:b/>
          <w:i w:val="0"/>
        </w:rPr>
        <w:t xml:space="preserve"> - Revogação da Transação Penal</w:t>
      </w:r>
    </w:p>
    <w:p w14:paraId="2EBE81D1" w14:textId="77777777" w:rsidR="007A57EE" w:rsidRDefault="007A57EE" w:rsidP="007A57EE">
      <w:pPr>
        <w:pStyle w:val="Legenda"/>
        <w:spacing w:after="0"/>
        <w:jc w:val="center"/>
        <w:rPr>
          <w:b/>
          <w:i w:val="0"/>
        </w:rPr>
      </w:pPr>
    </w:p>
    <w:p w14:paraId="5D86F97A" w14:textId="7CE4A03D" w:rsidR="007A57EE" w:rsidRDefault="00547EFC" w:rsidP="004F0DA7">
      <w:pPr>
        <w:pStyle w:val="TJSC-CorpodoTexto"/>
        <w:jc w:val="both"/>
      </w:pPr>
      <w:r>
        <w:rPr>
          <w:b/>
        </w:rPr>
        <w:t xml:space="preserve">3. </w:t>
      </w:r>
      <w:r w:rsidR="007A57EE" w:rsidRPr="001F3056">
        <w:rPr>
          <w:b/>
        </w:rPr>
        <w:t>Suspensão Lei 9099/95:</w:t>
      </w:r>
      <w:r w:rsidR="007A57EE" w:rsidRPr="001F3056">
        <w:t xml:space="preserve"> </w:t>
      </w:r>
      <w:r w:rsidR="007A57EE">
        <w:t>a</w:t>
      </w:r>
      <w:r w:rsidR="007A57EE" w:rsidRPr="001F3056">
        <w:t xml:space="preserve"> suspensão condicional do processo dá ao réu que preenche alguns requisitos legais o benefício de não ser processado, ou seja, de não ter o mérito da causa analisado</w:t>
      </w:r>
      <w:r w:rsidR="007A57EE">
        <w:t>.</w:t>
      </w:r>
      <w:r w:rsidR="007A57EE" w:rsidRPr="001F3056">
        <w:t xml:space="preserve"> </w:t>
      </w:r>
      <w:r w:rsidR="007A57EE">
        <w:t xml:space="preserve">É concedida </w:t>
      </w:r>
      <w:r w:rsidR="007A57EE" w:rsidRPr="001F3056">
        <w:t xml:space="preserve">mediante o cumprimento de algumas condições descritas no art. 89 da Lei </w:t>
      </w:r>
      <w:r w:rsidR="007A57EE">
        <w:t xml:space="preserve">n. </w:t>
      </w:r>
      <w:r w:rsidR="007A57EE" w:rsidRPr="001F3056">
        <w:t>9.099/</w:t>
      </w:r>
      <w:r w:rsidR="007A57EE">
        <w:t>19</w:t>
      </w:r>
      <w:r w:rsidR="007A57EE" w:rsidRPr="001F3056">
        <w:t>95,</w:t>
      </w:r>
      <w:r w:rsidR="007A57EE">
        <w:t xml:space="preserve"> </w:t>
      </w:r>
      <w:r w:rsidR="007A57EE" w:rsidRPr="001F3056">
        <w:t>aceitas em audiência designada especialmente para esse fim.</w:t>
      </w: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3544"/>
        <w:gridCol w:w="5528"/>
      </w:tblGrid>
      <w:tr w:rsidR="007A57EE" w:rsidRPr="008C5502" w14:paraId="71659E10" w14:textId="77777777" w:rsidTr="00703AC1">
        <w:trPr>
          <w:trHeight w:val="255"/>
        </w:trPr>
        <w:tc>
          <w:tcPr>
            <w:tcW w:w="9072" w:type="dxa"/>
            <w:gridSpan w:val="2"/>
            <w:shd w:val="clear" w:color="auto" w:fill="DEEAF6" w:themeFill="accent1" w:themeFillTint="33"/>
          </w:tcPr>
          <w:p w14:paraId="7472C111" w14:textId="77777777" w:rsidR="007A57EE" w:rsidRPr="008C5502" w:rsidRDefault="007A57EE" w:rsidP="00B929E2">
            <w:pPr>
              <w:jc w:val="center"/>
              <w:rPr>
                <w:rFonts w:ascii="Arial" w:hAnsi="Arial" w:cs="Arial"/>
              </w:rPr>
            </w:pPr>
            <w:r w:rsidRPr="008C5502">
              <w:rPr>
                <w:rFonts w:ascii="Arial" w:hAnsi="Arial" w:cs="Arial"/>
                <w:b/>
              </w:rPr>
              <w:t>SUSPENSÃO LEI 9099/95</w:t>
            </w:r>
          </w:p>
        </w:tc>
      </w:tr>
      <w:tr w:rsidR="007A57EE" w:rsidRPr="008C5502" w14:paraId="1580FF11" w14:textId="77777777" w:rsidTr="00703AC1">
        <w:trPr>
          <w:trHeight w:val="255"/>
        </w:trPr>
        <w:tc>
          <w:tcPr>
            <w:tcW w:w="3544" w:type="dxa"/>
            <w:shd w:val="clear" w:color="auto" w:fill="FBE4D5" w:themeFill="accent2" w:themeFillTint="33"/>
          </w:tcPr>
          <w:p w14:paraId="626DB370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>EVENTOS</w:t>
            </w:r>
          </w:p>
        </w:tc>
        <w:tc>
          <w:tcPr>
            <w:tcW w:w="5528" w:type="dxa"/>
            <w:shd w:val="clear" w:color="auto" w:fill="FBE4D5" w:themeFill="accent2" w:themeFillTint="33"/>
          </w:tcPr>
          <w:p w14:paraId="2589B19F" w14:textId="77777777" w:rsidR="007A57EE" w:rsidRPr="008C5502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8C5502">
              <w:rPr>
                <w:rFonts w:ascii="Arial" w:hAnsi="Arial" w:cs="Arial"/>
                <w:b/>
              </w:rPr>
              <w:t xml:space="preserve">APLICAÇÃO DO EVENTO </w:t>
            </w:r>
            <w:r>
              <w:rPr>
                <w:rFonts w:ascii="Arial" w:hAnsi="Arial" w:cs="Arial"/>
                <w:b/>
              </w:rPr>
              <w:t>E</w:t>
            </w:r>
            <w:r w:rsidRPr="008C5502">
              <w:rPr>
                <w:rFonts w:ascii="Arial" w:hAnsi="Arial" w:cs="Arial"/>
                <w:b/>
              </w:rPr>
              <w:t xml:space="preserve"> COMPORTAMENTOS</w:t>
            </w:r>
          </w:p>
          <w:p w14:paraId="2E6FE3C0" w14:textId="77777777" w:rsidR="007A57EE" w:rsidRPr="008C5502" w:rsidRDefault="007A57EE" w:rsidP="00B929E2">
            <w:pPr>
              <w:rPr>
                <w:rFonts w:ascii="Arial" w:hAnsi="Arial" w:cs="Arial"/>
                <w:b/>
              </w:rPr>
            </w:pPr>
          </w:p>
        </w:tc>
      </w:tr>
      <w:tr w:rsidR="007A57EE" w:rsidRPr="008C5502" w14:paraId="0000080C" w14:textId="77777777" w:rsidTr="00703AC1">
        <w:trPr>
          <w:trHeight w:val="170"/>
        </w:trPr>
        <w:tc>
          <w:tcPr>
            <w:tcW w:w="3544" w:type="dxa"/>
          </w:tcPr>
          <w:p w14:paraId="10C5D924" w14:textId="77777777" w:rsidR="007A57EE" w:rsidRPr="004F0DA7" w:rsidRDefault="007A57EE" w:rsidP="00B929E2">
            <w:pPr>
              <w:rPr>
                <w:rFonts w:ascii="Arial" w:hAnsi="Arial" w:cs="Arial"/>
              </w:rPr>
            </w:pPr>
          </w:p>
          <w:p w14:paraId="1127E2C4" w14:textId="77777777" w:rsidR="007A57EE" w:rsidRPr="004F0DA7" w:rsidRDefault="007A57EE" w:rsidP="00B929E2">
            <w:pPr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197 – Concessão da suspensão condicional do processo (art. 89 da Lei n. 9099/1995)</w:t>
            </w:r>
          </w:p>
        </w:tc>
        <w:tc>
          <w:tcPr>
            <w:tcW w:w="5528" w:type="dxa"/>
          </w:tcPr>
          <w:p w14:paraId="423344E2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43E6571C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Evento a ser lançado na data da audiência em que foi aceita a proposta de suspensão condicional do processo.</w:t>
            </w:r>
          </w:p>
          <w:p w14:paraId="76A8B22C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40C83C7E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Ao ser lançado, o SAJ abre aba “Suspensão Lei 9.099” e tela que permite o cadastrado das condições impostas.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</w:rPr>
              <w:instrText xml:space="preserve"> REF _Ref519528945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</w:rPr>
              <w:t>Figura 8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</w:rPr>
              <w:t>).</w:t>
            </w:r>
          </w:p>
          <w:p w14:paraId="5CC58703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20D964BE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Assim que lançado, o réu é automaticamente incluído no rol dos suspensos (Rol Suspensos)</w:t>
            </w:r>
          </w:p>
          <w:p w14:paraId="4EFAA104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</w:tc>
      </w:tr>
      <w:tr w:rsidR="007A57EE" w:rsidRPr="008C5502" w14:paraId="3399F514" w14:textId="77777777" w:rsidTr="00703AC1">
        <w:trPr>
          <w:trHeight w:val="170"/>
        </w:trPr>
        <w:tc>
          <w:tcPr>
            <w:tcW w:w="3544" w:type="dxa"/>
          </w:tcPr>
          <w:p w14:paraId="1C4175ED" w14:textId="77777777" w:rsidR="007A57EE" w:rsidRPr="004F0DA7" w:rsidRDefault="007A57EE" w:rsidP="00B929E2">
            <w:pPr>
              <w:rPr>
                <w:rFonts w:ascii="Arial" w:hAnsi="Arial" w:cs="Arial"/>
              </w:rPr>
            </w:pPr>
          </w:p>
          <w:p w14:paraId="1655B61B" w14:textId="77777777" w:rsidR="007A57EE" w:rsidRPr="004F0DA7" w:rsidRDefault="007A57EE" w:rsidP="00B929E2">
            <w:pPr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198 – Revogação da suspensão condicional do processo (art. 89 da Lei n. 9099/1995)</w:t>
            </w:r>
          </w:p>
        </w:tc>
        <w:tc>
          <w:tcPr>
            <w:tcW w:w="5528" w:type="dxa"/>
          </w:tcPr>
          <w:p w14:paraId="7137E320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0811411C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Deve ser utilizado quando ocorre a revogação da suspensão condicional do processo (Revogação obrigatório ou facultativa).</w:t>
            </w:r>
          </w:p>
          <w:p w14:paraId="18FB73AA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Ao ser lançado, o sistema encerra as apresentações em aberto e exclui a parte do rol de processos suspensos.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</w:rPr>
              <w:instrText xml:space="preserve"> REF _Ref519528964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</w:rPr>
              <w:t>Figura 9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</w:rPr>
              <w:t>).</w:t>
            </w:r>
          </w:p>
          <w:p w14:paraId="019105D9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</w:tc>
      </w:tr>
      <w:tr w:rsidR="007A57EE" w:rsidRPr="008C5502" w14:paraId="6A14E6B0" w14:textId="77777777" w:rsidTr="00703AC1">
        <w:trPr>
          <w:trHeight w:val="170"/>
        </w:trPr>
        <w:tc>
          <w:tcPr>
            <w:tcW w:w="3544" w:type="dxa"/>
          </w:tcPr>
          <w:p w14:paraId="345BD04B" w14:textId="77777777" w:rsidR="007A57EE" w:rsidRPr="004F0DA7" w:rsidRDefault="007A57EE" w:rsidP="00B929E2">
            <w:pPr>
              <w:rPr>
                <w:rFonts w:ascii="Arial" w:hAnsi="Arial" w:cs="Arial"/>
              </w:rPr>
            </w:pPr>
          </w:p>
          <w:p w14:paraId="41528BED" w14:textId="77777777" w:rsidR="007A57EE" w:rsidRPr="004F0DA7" w:rsidRDefault="007A57EE" w:rsidP="00B929E2">
            <w:pPr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 xml:space="preserve">234 – Trânsito em julgado/suspensão condicional do processo (art. 89 da Lei n. 9099/1995) </w:t>
            </w:r>
          </w:p>
        </w:tc>
        <w:tc>
          <w:tcPr>
            <w:tcW w:w="5528" w:type="dxa"/>
          </w:tcPr>
          <w:p w14:paraId="16CEC78C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15CA09BF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Evento a ser utilizado para informar a ocorrência do trânsito em julgado da decisão que aplicou a suspensão condicional do processo.</w:t>
            </w:r>
          </w:p>
          <w:p w14:paraId="19E46575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</w:tc>
      </w:tr>
    </w:tbl>
    <w:p w14:paraId="3EE2CCB9" w14:textId="77777777" w:rsidR="007A57EE" w:rsidRDefault="007A57EE" w:rsidP="007A57EE">
      <w:pPr>
        <w:jc w:val="both"/>
        <w:rPr>
          <w:rFonts w:cs="Arial"/>
        </w:rPr>
      </w:pPr>
    </w:p>
    <w:p w14:paraId="1DD4A66F" w14:textId="77777777" w:rsidR="007A57EE" w:rsidRDefault="007A57EE" w:rsidP="007A57EE">
      <w:pPr>
        <w:jc w:val="both"/>
        <w:rPr>
          <w:rFonts w:cs="Arial"/>
        </w:rPr>
      </w:pPr>
    </w:p>
    <w:p w14:paraId="02019FE8" w14:textId="77777777" w:rsidR="007A57EE" w:rsidRPr="00030BDD" w:rsidRDefault="007A57EE" w:rsidP="007A57EE">
      <w:pPr>
        <w:keepNext/>
        <w:jc w:val="center"/>
        <w:rPr>
          <w:b/>
        </w:rPr>
      </w:pPr>
      <w:r w:rsidRPr="00030BDD">
        <w:rPr>
          <w:b/>
          <w:noProof/>
          <w:lang w:eastAsia="pt-BR" w:bidi="ar-SA"/>
        </w:rPr>
        <w:drawing>
          <wp:inline distT="0" distB="0" distL="0" distR="0" wp14:anchorId="111FE324" wp14:editId="0F598FEF">
            <wp:extent cx="5207746" cy="3295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261" cy="330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47DF" w14:textId="77777777" w:rsidR="007A57EE" w:rsidRPr="004F0DA7" w:rsidRDefault="007A57EE" w:rsidP="007A57EE">
      <w:pPr>
        <w:pStyle w:val="Legenda"/>
        <w:jc w:val="center"/>
        <w:rPr>
          <w:b/>
          <w:i w:val="0"/>
        </w:rPr>
      </w:pPr>
      <w:bookmarkStart w:id="8" w:name="_Ref519528945"/>
      <w:r w:rsidRPr="004F0DA7">
        <w:rPr>
          <w:b/>
          <w:i w:val="0"/>
        </w:rPr>
        <w:t xml:space="preserve">Figura </w:t>
      </w:r>
      <w:r w:rsidRPr="004F0DA7">
        <w:rPr>
          <w:b/>
          <w:i w:val="0"/>
        </w:rPr>
        <w:fldChar w:fldCharType="begin"/>
      </w:r>
      <w:r w:rsidRPr="004F0DA7">
        <w:rPr>
          <w:b/>
          <w:i w:val="0"/>
        </w:rPr>
        <w:instrText xml:space="preserve"> SEQ Figura \* ARABIC </w:instrText>
      </w:r>
      <w:r w:rsidRPr="004F0DA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8</w:t>
      </w:r>
      <w:r w:rsidRPr="004F0DA7">
        <w:rPr>
          <w:b/>
          <w:i w:val="0"/>
        </w:rPr>
        <w:fldChar w:fldCharType="end"/>
      </w:r>
      <w:bookmarkEnd w:id="8"/>
      <w:r w:rsidRPr="004F0DA7">
        <w:rPr>
          <w:b/>
          <w:i w:val="0"/>
        </w:rPr>
        <w:t xml:space="preserve"> - Suspensão Lei 9.099/95</w:t>
      </w:r>
    </w:p>
    <w:p w14:paraId="6FB1FF84" w14:textId="77777777" w:rsidR="007A57EE" w:rsidRDefault="007A57EE" w:rsidP="007A57EE"/>
    <w:p w14:paraId="1AA46311" w14:textId="77777777" w:rsidR="007A57EE" w:rsidRPr="00F92FEF" w:rsidRDefault="007A57EE" w:rsidP="007A57EE"/>
    <w:p w14:paraId="2F793D3F" w14:textId="77777777" w:rsidR="007A57EE" w:rsidRDefault="007A57EE" w:rsidP="007A57EE">
      <w:pPr>
        <w:keepNext/>
        <w:jc w:val="center"/>
      </w:pPr>
      <w:r>
        <w:rPr>
          <w:noProof/>
          <w:lang w:eastAsia="pt-BR" w:bidi="ar-SA"/>
        </w:rPr>
        <w:drawing>
          <wp:inline distT="0" distB="0" distL="0" distR="0" wp14:anchorId="79F36B9C" wp14:editId="0A742AD3">
            <wp:extent cx="6300470" cy="3090545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6AF5" w14:textId="77777777" w:rsidR="007A57EE" w:rsidRPr="00030BDD" w:rsidRDefault="007A57EE" w:rsidP="007A57EE">
      <w:pPr>
        <w:pStyle w:val="Legenda"/>
        <w:jc w:val="center"/>
        <w:rPr>
          <w:rFonts w:cs="Arial"/>
          <w:b/>
          <w:i w:val="0"/>
        </w:rPr>
      </w:pPr>
      <w:bookmarkStart w:id="9" w:name="_Ref519528964"/>
      <w:r w:rsidRPr="00030BDD">
        <w:rPr>
          <w:b/>
          <w:i w:val="0"/>
        </w:rPr>
        <w:t xml:space="preserve">Figura </w:t>
      </w:r>
      <w:r w:rsidRPr="00030BDD">
        <w:rPr>
          <w:b/>
          <w:i w:val="0"/>
        </w:rPr>
        <w:fldChar w:fldCharType="begin"/>
      </w:r>
      <w:r w:rsidRPr="00030BDD">
        <w:rPr>
          <w:b/>
          <w:i w:val="0"/>
        </w:rPr>
        <w:instrText xml:space="preserve"> SEQ Figura \* ARABIC </w:instrText>
      </w:r>
      <w:r w:rsidRPr="00030BDD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9</w:t>
      </w:r>
      <w:r w:rsidRPr="00030BDD">
        <w:rPr>
          <w:b/>
          <w:i w:val="0"/>
        </w:rPr>
        <w:fldChar w:fldCharType="end"/>
      </w:r>
      <w:bookmarkEnd w:id="9"/>
      <w:r w:rsidRPr="00030BDD">
        <w:rPr>
          <w:b/>
          <w:i w:val="0"/>
        </w:rPr>
        <w:t xml:space="preserve"> - Revogação da suspensão art. 89 Lei 9099/95</w:t>
      </w:r>
    </w:p>
    <w:p w14:paraId="0B272760" w14:textId="77777777" w:rsidR="007A57EE" w:rsidRDefault="007A57EE" w:rsidP="007A57EE">
      <w:pPr>
        <w:jc w:val="center"/>
        <w:rPr>
          <w:rFonts w:cs="Arial"/>
        </w:rPr>
      </w:pPr>
    </w:p>
    <w:p w14:paraId="781E56B4" w14:textId="77777777" w:rsidR="007A57EE" w:rsidRDefault="007A57EE" w:rsidP="007A57EE">
      <w:pPr>
        <w:jc w:val="center"/>
        <w:rPr>
          <w:rFonts w:cs="Arial"/>
        </w:rPr>
      </w:pPr>
    </w:p>
    <w:p w14:paraId="2BC827F9" w14:textId="77777777" w:rsidR="00703AC1" w:rsidRDefault="00703AC1" w:rsidP="004F0DA7">
      <w:pPr>
        <w:pStyle w:val="TJSC-CorpodoTexto"/>
        <w:rPr>
          <w:b/>
        </w:rPr>
      </w:pPr>
    </w:p>
    <w:p w14:paraId="74E90D3A" w14:textId="69E4306E" w:rsidR="007A57EE" w:rsidRPr="009337AF" w:rsidRDefault="00547EFC" w:rsidP="00703AC1">
      <w:pPr>
        <w:pStyle w:val="TJSC-CorpodoTexto"/>
        <w:jc w:val="both"/>
      </w:pPr>
      <w:r>
        <w:rPr>
          <w:b/>
        </w:rPr>
        <w:t xml:space="preserve">4. </w:t>
      </w:r>
      <w:r w:rsidR="007A57EE" w:rsidRPr="009337AF">
        <w:rPr>
          <w:b/>
        </w:rPr>
        <w:t>Sursis:</w:t>
      </w:r>
      <w:r w:rsidR="007A57EE" w:rsidRPr="009337AF">
        <w:t xml:space="preserve"> instituto que permite ao juiz, em vez de ordenar ao condenado o cumprimento de pena de pequena duração, suspendê-la por período, chamado período de prova.</w:t>
      </w: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3261"/>
        <w:gridCol w:w="5811"/>
      </w:tblGrid>
      <w:tr w:rsidR="007A57EE" w:rsidRPr="009337AF" w14:paraId="345D4D6D" w14:textId="77777777" w:rsidTr="00703AC1">
        <w:trPr>
          <w:trHeight w:val="170"/>
        </w:trPr>
        <w:tc>
          <w:tcPr>
            <w:tcW w:w="9072" w:type="dxa"/>
            <w:gridSpan w:val="2"/>
            <w:shd w:val="clear" w:color="auto" w:fill="DEEAF6" w:themeFill="accent1" w:themeFillTint="33"/>
          </w:tcPr>
          <w:p w14:paraId="2BAD59DD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9337AF">
              <w:rPr>
                <w:rFonts w:ascii="Arial" w:hAnsi="Arial" w:cs="Arial"/>
                <w:b/>
              </w:rPr>
              <w:t>SURSIS</w:t>
            </w:r>
          </w:p>
        </w:tc>
      </w:tr>
      <w:tr w:rsidR="007A57EE" w:rsidRPr="009337AF" w14:paraId="390E632C" w14:textId="77777777" w:rsidTr="00703AC1">
        <w:trPr>
          <w:trHeight w:val="170"/>
        </w:trPr>
        <w:tc>
          <w:tcPr>
            <w:tcW w:w="3261" w:type="dxa"/>
            <w:shd w:val="clear" w:color="auto" w:fill="FBE4D5" w:themeFill="accent2" w:themeFillTint="33"/>
          </w:tcPr>
          <w:p w14:paraId="7A7015C7" w14:textId="77777777" w:rsidR="007A57EE" w:rsidRPr="00F92FE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F92FEF">
              <w:rPr>
                <w:rFonts w:ascii="Arial" w:hAnsi="Arial" w:cs="Arial"/>
                <w:b/>
              </w:rPr>
              <w:t>EVENTOS</w:t>
            </w:r>
          </w:p>
        </w:tc>
        <w:tc>
          <w:tcPr>
            <w:tcW w:w="5811" w:type="dxa"/>
            <w:shd w:val="clear" w:color="auto" w:fill="FBE4D5" w:themeFill="accent2" w:themeFillTint="33"/>
          </w:tcPr>
          <w:p w14:paraId="39006290" w14:textId="77777777" w:rsidR="007A57EE" w:rsidRPr="00F92FE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F92FEF">
              <w:rPr>
                <w:rFonts w:ascii="Arial" w:hAnsi="Arial" w:cs="Arial"/>
                <w:b/>
              </w:rPr>
              <w:t>APLICAÇÃO DO EVENTO E COMPORTAMENTOS</w:t>
            </w:r>
          </w:p>
          <w:p w14:paraId="5ED1FE1C" w14:textId="77777777" w:rsidR="007A57EE" w:rsidRPr="00F92FEF" w:rsidRDefault="007A57EE" w:rsidP="00B929E2">
            <w:pPr>
              <w:rPr>
                <w:rFonts w:ascii="Arial" w:hAnsi="Arial" w:cs="Arial"/>
                <w:b/>
              </w:rPr>
            </w:pPr>
          </w:p>
        </w:tc>
      </w:tr>
      <w:tr w:rsidR="007A57EE" w:rsidRPr="009337AF" w14:paraId="4B42ED06" w14:textId="77777777" w:rsidTr="00703AC1">
        <w:trPr>
          <w:trHeight w:val="85"/>
        </w:trPr>
        <w:tc>
          <w:tcPr>
            <w:tcW w:w="3261" w:type="dxa"/>
          </w:tcPr>
          <w:p w14:paraId="77FF5125" w14:textId="77777777" w:rsidR="007A57EE" w:rsidRPr="004F0DA7" w:rsidRDefault="007A57EE" w:rsidP="00B929E2">
            <w:pPr>
              <w:rPr>
                <w:rFonts w:ascii="Arial" w:hAnsi="Arial" w:cs="Arial"/>
              </w:rPr>
            </w:pPr>
          </w:p>
          <w:p w14:paraId="18D8E132" w14:textId="77777777" w:rsidR="007A57EE" w:rsidRPr="004F0DA7" w:rsidRDefault="007A57EE" w:rsidP="00B929E2">
            <w:pPr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114 – Audiência admonitória/</w:t>
            </w:r>
            <w:r w:rsidRPr="004F0DA7">
              <w:rPr>
                <w:rFonts w:ascii="Arial" w:hAnsi="Arial" w:cs="Arial"/>
                <w:i/>
              </w:rPr>
              <w:t>sursis</w:t>
            </w:r>
            <w:r w:rsidRPr="004F0DA7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5811" w:type="dxa"/>
          </w:tcPr>
          <w:p w14:paraId="5343EC3E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6FCADF63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 xml:space="preserve">Evento que permite o registro e o início do acompanhamento do </w:t>
            </w:r>
            <w:r w:rsidRPr="004F0DA7">
              <w:rPr>
                <w:rFonts w:ascii="Arial" w:hAnsi="Arial" w:cs="Arial"/>
                <w:i/>
              </w:rPr>
              <w:t>sursis</w:t>
            </w:r>
            <w:r w:rsidRPr="004F0DA7">
              <w:rPr>
                <w:rFonts w:ascii="Arial" w:hAnsi="Arial" w:cs="Arial"/>
              </w:rPr>
              <w:t xml:space="preserve">. Para lançá-lo é preciso já ter sido informado um evento de sentença/acórdão aplicando o </w:t>
            </w:r>
            <w:r w:rsidRPr="004F0DA7">
              <w:rPr>
                <w:rFonts w:ascii="Arial" w:hAnsi="Arial" w:cs="Arial"/>
                <w:i/>
              </w:rPr>
              <w:t>sursis</w:t>
            </w:r>
            <w:r w:rsidRPr="004F0DA7">
              <w:rPr>
                <w:rFonts w:ascii="Arial" w:hAnsi="Arial" w:cs="Arial"/>
              </w:rPr>
              <w:t>.</w:t>
            </w:r>
          </w:p>
          <w:p w14:paraId="54E8C323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0092FE65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 xml:space="preserve">Ao ser lançado, o SAJ abre aba “Sursis” e tela que permite o cadastrado das condições impostas, já trazendo a tela preenchida com os dados lançados no evento de sentença que aplicou o </w:t>
            </w:r>
            <w:r w:rsidRPr="004F0DA7">
              <w:rPr>
                <w:rFonts w:ascii="Arial" w:hAnsi="Arial" w:cs="Arial"/>
                <w:i/>
              </w:rPr>
              <w:t>sursis</w:t>
            </w:r>
            <w:r w:rsidRPr="004F0DA7">
              <w:rPr>
                <w:rFonts w:ascii="Arial" w:hAnsi="Arial" w:cs="Arial"/>
              </w:rPr>
              <w:t>.</w:t>
            </w:r>
          </w:p>
          <w:p w14:paraId="223612A7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</w:rPr>
              <w:instrText xml:space="preserve"> REF _Ref519528981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</w:rPr>
              <w:t>Figura 10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</w:rPr>
              <w:instrText xml:space="preserve"> REF _Ref518991884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>
              <w:rPr>
                <w:rFonts w:ascii="Arial" w:hAnsi="Arial" w:cs="Arial"/>
                <w:b/>
                <w:bCs/>
              </w:rPr>
              <w:t>Erro! Fonte de referência não encontrada.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</w:rPr>
              <w:t>).</w:t>
            </w:r>
          </w:p>
          <w:p w14:paraId="0F765FB9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</w:tc>
      </w:tr>
      <w:tr w:rsidR="007A57EE" w:rsidRPr="009337AF" w14:paraId="209677F4" w14:textId="77777777" w:rsidTr="00703AC1">
        <w:trPr>
          <w:trHeight w:val="85"/>
        </w:trPr>
        <w:tc>
          <w:tcPr>
            <w:tcW w:w="3261" w:type="dxa"/>
          </w:tcPr>
          <w:p w14:paraId="618BD2D6" w14:textId="77777777" w:rsidR="007A57EE" w:rsidRPr="004F0DA7" w:rsidRDefault="007A57EE" w:rsidP="00B929E2">
            <w:pPr>
              <w:rPr>
                <w:rFonts w:ascii="Arial" w:hAnsi="Arial" w:cs="Arial"/>
              </w:rPr>
            </w:pPr>
          </w:p>
          <w:p w14:paraId="4C244132" w14:textId="77777777" w:rsidR="007A57EE" w:rsidRPr="004F0DA7" w:rsidRDefault="007A57EE" w:rsidP="00B929E2">
            <w:pPr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 xml:space="preserve">194 – Revogação do sursis                                                             </w:t>
            </w:r>
          </w:p>
        </w:tc>
        <w:tc>
          <w:tcPr>
            <w:tcW w:w="5811" w:type="dxa"/>
          </w:tcPr>
          <w:p w14:paraId="25E5F2C2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019EBCEB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 xml:space="preserve">Deve ser utilizado quando ocorre a revogação do </w:t>
            </w:r>
            <w:r w:rsidRPr="004F0DA7">
              <w:rPr>
                <w:rFonts w:ascii="Arial" w:hAnsi="Arial" w:cs="Arial"/>
                <w:i/>
              </w:rPr>
              <w:t>sursis</w:t>
            </w:r>
            <w:r w:rsidRPr="004F0DA7">
              <w:rPr>
                <w:rFonts w:ascii="Arial" w:hAnsi="Arial" w:cs="Arial"/>
              </w:rPr>
              <w:t>, por exemplo, quando há o descumprimento das condições impostas.</w:t>
            </w:r>
          </w:p>
          <w:p w14:paraId="41C23EF0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53F56689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>Ao ser lançado, o sistema encerra as apresentações e as demais condições abertas.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</w:rPr>
              <w:instrText xml:space="preserve"> REF _Ref521317425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</w:rPr>
              <w:t xml:space="preserve">Figura </w:t>
            </w:r>
            <w:r w:rsidR="00B8081D" w:rsidRPr="00B8081D">
              <w:rPr>
                <w:rFonts w:ascii="Arial" w:hAnsi="Arial" w:cs="Arial"/>
                <w:b/>
                <w:noProof/>
              </w:rPr>
              <w:t>11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</w:rPr>
              <w:t>)</w:t>
            </w:r>
          </w:p>
          <w:p w14:paraId="086B89E9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</w:tc>
      </w:tr>
      <w:tr w:rsidR="007A57EE" w:rsidRPr="009337AF" w14:paraId="66AF9136" w14:textId="77777777" w:rsidTr="00703AC1">
        <w:trPr>
          <w:trHeight w:val="85"/>
        </w:trPr>
        <w:tc>
          <w:tcPr>
            <w:tcW w:w="3261" w:type="dxa"/>
          </w:tcPr>
          <w:p w14:paraId="42AE40D1" w14:textId="77777777" w:rsidR="007A57EE" w:rsidRPr="004F0DA7" w:rsidRDefault="007A57EE" w:rsidP="00B929E2">
            <w:pPr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 xml:space="preserve">93 – Restabelecimento do </w:t>
            </w:r>
            <w:r w:rsidRPr="004F0DA7">
              <w:rPr>
                <w:rFonts w:ascii="Arial" w:hAnsi="Arial" w:cs="Arial"/>
                <w:i/>
              </w:rPr>
              <w:t>sursis</w:t>
            </w:r>
            <w:r w:rsidRPr="004F0DA7">
              <w:rPr>
                <w:rFonts w:ascii="Arial" w:hAnsi="Arial" w:cs="Arial"/>
              </w:rPr>
              <w:t xml:space="preserve">                                                      </w:t>
            </w:r>
          </w:p>
        </w:tc>
        <w:tc>
          <w:tcPr>
            <w:tcW w:w="5811" w:type="dxa"/>
          </w:tcPr>
          <w:p w14:paraId="31F97B93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  <w:p w14:paraId="4B069496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  <w:r w:rsidRPr="004F0DA7">
              <w:rPr>
                <w:rFonts w:ascii="Arial" w:hAnsi="Arial" w:cs="Arial"/>
              </w:rPr>
              <w:t xml:space="preserve">Ao ser lançado, o SAJ abre tela que permite o cadastrado das condições impostas. É possível manter as condições iniciais (duração, periodicidade, etc.) ou alterar, se necessário. </w:t>
            </w:r>
          </w:p>
          <w:p w14:paraId="567F24B1" w14:textId="77777777" w:rsidR="007A57EE" w:rsidRPr="004F0DA7" w:rsidRDefault="007A57EE" w:rsidP="00B929E2">
            <w:pPr>
              <w:jc w:val="both"/>
              <w:rPr>
                <w:rFonts w:ascii="Arial" w:hAnsi="Arial" w:cs="Arial"/>
              </w:rPr>
            </w:pPr>
          </w:p>
        </w:tc>
      </w:tr>
    </w:tbl>
    <w:p w14:paraId="7862A892" w14:textId="77777777" w:rsidR="007A57EE" w:rsidRDefault="007A57EE" w:rsidP="007A57EE">
      <w:pPr>
        <w:jc w:val="both"/>
        <w:rPr>
          <w:rFonts w:cs="Arial"/>
        </w:rPr>
      </w:pPr>
    </w:p>
    <w:p w14:paraId="7BE9CEB7" w14:textId="77777777" w:rsidR="007A57EE" w:rsidRDefault="007A57EE" w:rsidP="007A57EE">
      <w:pPr>
        <w:jc w:val="both"/>
        <w:rPr>
          <w:rFonts w:cs="Arial"/>
        </w:rPr>
      </w:pPr>
    </w:p>
    <w:p w14:paraId="53AC2F0D" w14:textId="77777777" w:rsidR="007A57EE" w:rsidRDefault="007A57EE" w:rsidP="007A57EE">
      <w:pPr>
        <w:keepNext/>
        <w:jc w:val="center"/>
        <w:rPr>
          <w:b/>
        </w:rPr>
      </w:pPr>
      <w:r w:rsidRPr="00AD3BC7">
        <w:rPr>
          <w:b/>
          <w:noProof/>
          <w:lang w:eastAsia="pt-BR" w:bidi="ar-SA"/>
        </w:rPr>
        <w:lastRenderedPageBreak/>
        <w:drawing>
          <wp:inline distT="0" distB="0" distL="0" distR="0" wp14:anchorId="259B8A8A" wp14:editId="5B1E9836">
            <wp:extent cx="5618285" cy="35718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076" cy="358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E735" w14:textId="77777777" w:rsidR="007A57EE" w:rsidRPr="004F0DA7" w:rsidRDefault="007A57EE" w:rsidP="007A57EE">
      <w:pPr>
        <w:pStyle w:val="Legenda"/>
        <w:jc w:val="center"/>
        <w:rPr>
          <w:b/>
          <w:i w:val="0"/>
        </w:rPr>
      </w:pPr>
      <w:bookmarkStart w:id="10" w:name="_Ref519528981"/>
      <w:r w:rsidRPr="004F0DA7">
        <w:rPr>
          <w:b/>
          <w:i w:val="0"/>
        </w:rPr>
        <w:t xml:space="preserve">Figura </w:t>
      </w:r>
      <w:r w:rsidRPr="004F0DA7">
        <w:rPr>
          <w:b/>
          <w:i w:val="0"/>
        </w:rPr>
        <w:fldChar w:fldCharType="begin"/>
      </w:r>
      <w:r w:rsidRPr="004F0DA7">
        <w:rPr>
          <w:b/>
          <w:i w:val="0"/>
        </w:rPr>
        <w:instrText xml:space="preserve"> SEQ Figura \* ARABIC </w:instrText>
      </w:r>
      <w:r w:rsidRPr="004F0DA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10</w:t>
      </w:r>
      <w:r w:rsidRPr="004F0DA7">
        <w:rPr>
          <w:b/>
          <w:i w:val="0"/>
        </w:rPr>
        <w:fldChar w:fldCharType="end"/>
      </w:r>
      <w:bookmarkEnd w:id="10"/>
      <w:r w:rsidRPr="004F0DA7">
        <w:rPr>
          <w:b/>
          <w:i w:val="0"/>
        </w:rPr>
        <w:t xml:space="preserve"> - Cadastro do Sursis</w:t>
      </w:r>
    </w:p>
    <w:p w14:paraId="04D39BCC" w14:textId="77777777" w:rsidR="007A57EE" w:rsidRDefault="007A57EE" w:rsidP="007A57EE"/>
    <w:p w14:paraId="450C95C9" w14:textId="77777777" w:rsidR="007A57EE" w:rsidRDefault="007A57EE" w:rsidP="007A57EE"/>
    <w:p w14:paraId="0EDB0E19" w14:textId="77777777" w:rsidR="007A57EE" w:rsidRPr="00151F8A" w:rsidRDefault="007A57EE" w:rsidP="007A57EE">
      <w:pPr>
        <w:keepNext/>
        <w:jc w:val="center"/>
        <w:rPr>
          <w:b/>
        </w:rPr>
      </w:pPr>
      <w:r w:rsidRPr="00151F8A">
        <w:rPr>
          <w:b/>
          <w:noProof/>
          <w:lang w:eastAsia="pt-BR" w:bidi="ar-SA"/>
        </w:rPr>
        <w:drawing>
          <wp:inline distT="0" distB="0" distL="0" distR="0" wp14:anchorId="3FC245C8" wp14:editId="1AFBCE4B">
            <wp:extent cx="5671078" cy="2804103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75" cy="280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92E7" w14:textId="77777777" w:rsidR="007A57EE" w:rsidRPr="00151F8A" w:rsidRDefault="007A57EE" w:rsidP="007A57EE">
      <w:pPr>
        <w:pStyle w:val="Legenda"/>
        <w:jc w:val="center"/>
        <w:rPr>
          <w:b/>
          <w:i w:val="0"/>
        </w:rPr>
      </w:pPr>
      <w:bookmarkStart w:id="11" w:name="_Ref521317425"/>
      <w:r w:rsidRPr="00151F8A">
        <w:rPr>
          <w:b/>
          <w:i w:val="0"/>
        </w:rPr>
        <w:t xml:space="preserve">Figura </w:t>
      </w:r>
      <w:r w:rsidRPr="00151F8A">
        <w:rPr>
          <w:b/>
          <w:i w:val="0"/>
        </w:rPr>
        <w:fldChar w:fldCharType="begin"/>
      </w:r>
      <w:r w:rsidRPr="00151F8A">
        <w:rPr>
          <w:b/>
          <w:i w:val="0"/>
        </w:rPr>
        <w:instrText xml:space="preserve"> SEQ Figura \* ARABIC </w:instrText>
      </w:r>
      <w:r w:rsidRPr="00151F8A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11</w:t>
      </w:r>
      <w:r w:rsidRPr="00151F8A">
        <w:rPr>
          <w:b/>
          <w:i w:val="0"/>
        </w:rPr>
        <w:fldChar w:fldCharType="end"/>
      </w:r>
      <w:bookmarkEnd w:id="11"/>
      <w:r w:rsidRPr="00151F8A">
        <w:rPr>
          <w:b/>
          <w:i w:val="0"/>
        </w:rPr>
        <w:t xml:space="preserve"> - Revogação do Sursis</w:t>
      </w:r>
    </w:p>
    <w:p w14:paraId="37E855C6" w14:textId="77777777" w:rsidR="007A57EE" w:rsidRDefault="007A57EE" w:rsidP="007A57EE"/>
    <w:p w14:paraId="046989EE" w14:textId="77777777" w:rsidR="004F0DA7" w:rsidRDefault="004F0DA7" w:rsidP="004F0DA7">
      <w:pPr>
        <w:pStyle w:val="TJSC-CorpodoTexto"/>
        <w:jc w:val="both"/>
        <w:rPr>
          <w:b/>
        </w:rPr>
      </w:pPr>
    </w:p>
    <w:p w14:paraId="1452CAA6" w14:textId="77777777" w:rsidR="00106E92" w:rsidRDefault="00106E92" w:rsidP="004F0DA7">
      <w:pPr>
        <w:pStyle w:val="TJSC-CorpodoTexto"/>
        <w:jc w:val="both"/>
        <w:rPr>
          <w:b/>
        </w:rPr>
      </w:pPr>
    </w:p>
    <w:p w14:paraId="4734EE70" w14:textId="77777777" w:rsidR="00106E92" w:rsidRDefault="00106E92" w:rsidP="004F0DA7">
      <w:pPr>
        <w:pStyle w:val="TJSC-CorpodoTexto"/>
        <w:jc w:val="both"/>
        <w:rPr>
          <w:b/>
        </w:rPr>
      </w:pPr>
    </w:p>
    <w:p w14:paraId="54AC1800" w14:textId="77777777" w:rsidR="00106E92" w:rsidRDefault="00106E92" w:rsidP="004F0DA7">
      <w:pPr>
        <w:pStyle w:val="TJSC-CorpodoTexto"/>
        <w:jc w:val="both"/>
        <w:rPr>
          <w:b/>
        </w:rPr>
      </w:pPr>
    </w:p>
    <w:p w14:paraId="6921A59E" w14:textId="77777777" w:rsidR="00106E92" w:rsidRDefault="00106E92" w:rsidP="004F0DA7">
      <w:pPr>
        <w:pStyle w:val="TJSC-CorpodoTexto"/>
        <w:jc w:val="both"/>
        <w:rPr>
          <w:b/>
        </w:rPr>
      </w:pPr>
    </w:p>
    <w:p w14:paraId="672F6D10" w14:textId="7222D7EE" w:rsidR="007A57EE" w:rsidRDefault="00547EFC" w:rsidP="004F0DA7">
      <w:pPr>
        <w:pStyle w:val="TJSC-CorpodoTexto"/>
        <w:jc w:val="both"/>
      </w:pPr>
      <w:r>
        <w:rPr>
          <w:b/>
        </w:rPr>
        <w:lastRenderedPageBreak/>
        <w:t xml:space="preserve">5. </w:t>
      </w:r>
      <w:r w:rsidR="007A57EE" w:rsidRPr="009337AF">
        <w:rPr>
          <w:b/>
        </w:rPr>
        <w:t xml:space="preserve">Regime </w:t>
      </w:r>
      <w:r w:rsidR="007A57EE">
        <w:rPr>
          <w:b/>
        </w:rPr>
        <w:t>a</w:t>
      </w:r>
      <w:r w:rsidR="007A57EE" w:rsidRPr="009337AF">
        <w:rPr>
          <w:b/>
        </w:rPr>
        <w:t xml:space="preserve">berto: </w:t>
      </w:r>
      <w:r w:rsidR="007A57EE" w:rsidRPr="00F92FEF">
        <w:t>e</w:t>
      </w:r>
      <w:r w:rsidR="007A57EE" w:rsidRPr="009337AF">
        <w:t xml:space="preserve">ngloba tanto condenações cujo regime inicial foi definido como “Aberto” como também decorre de progressão de regime. </w:t>
      </w:r>
    </w:p>
    <w:tbl>
      <w:tblPr>
        <w:tblStyle w:val="Tabelacomgrade"/>
        <w:tblW w:w="8930" w:type="dxa"/>
        <w:tblInd w:w="137" w:type="dxa"/>
        <w:tblLook w:val="04A0" w:firstRow="1" w:lastRow="0" w:firstColumn="1" w:lastColumn="0" w:noHBand="0" w:noVBand="1"/>
      </w:tblPr>
      <w:tblGrid>
        <w:gridCol w:w="2665"/>
        <w:gridCol w:w="6265"/>
      </w:tblGrid>
      <w:tr w:rsidR="007A57EE" w:rsidRPr="009337AF" w14:paraId="0E016D5E" w14:textId="77777777" w:rsidTr="00703AC1">
        <w:trPr>
          <w:trHeight w:val="170"/>
        </w:trPr>
        <w:tc>
          <w:tcPr>
            <w:tcW w:w="8930" w:type="dxa"/>
            <w:gridSpan w:val="2"/>
            <w:shd w:val="clear" w:color="auto" w:fill="DEEAF6" w:themeFill="accent1" w:themeFillTint="33"/>
          </w:tcPr>
          <w:p w14:paraId="2177DA61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9337AF">
              <w:rPr>
                <w:rFonts w:ascii="Arial" w:hAnsi="Arial" w:cs="Arial"/>
                <w:b/>
              </w:rPr>
              <w:t>REGIME ABERTO</w:t>
            </w:r>
          </w:p>
        </w:tc>
      </w:tr>
      <w:tr w:rsidR="007A57EE" w:rsidRPr="009337AF" w14:paraId="061C2E76" w14:textId="77777777" w:rsidTr="00703AC1">
        <w:trPr>
          <w:trHeight w:val="85"/>
        </w:trPr>
        <w:tc>
          <w:tcPr>
            <w:tcW w:w="2665" w:type="dxa"/>
            <w:shd w:val="clear" w:color="auto" w:fill="FBE4D5" w:themeFill="accent2" w:themeFillTint="33"/>
          </w:tcPr>
          <w:p w14:paraId="67CD767A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9337AF">
              <w:rPr>
                <w:rFonts w:ascii="Arial" w:hAnsi="Arial" w:cs="Arial"/>
                <w:b/>
              </w:rPr>
              <w:t>EVENTOS</w:t>
            </w:r>
          </w:p>
        </w:tc>
        <w:tc>
          <w:tcPr>
            <w:tcW w:w="6265" w:type="dxa"/>
            <w:shd w:val="clear" w:color="auto" w:fill="FBE4D5" w:themeFill="accent2" w:themeFillTint="33"/>
          </w:tcPr>
          <w:p w14:paraId="50472386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9337AF">
              <w:rPr>
                <w:rFonts w:ascii="Arial" w:hAnsi="Arial" w:cs="Arial"/>
                <w:b/>
              </w:rPr>
              <w:t xml:space="preserve">APLICAÇÃO DO EVENTO </w:t>
            </w:r>
            <w:r>
              <w:rPr>
                <w:rFonts w:ascii="Arial" w:hAnsi="Arial" w:cs="Arial"/>
                <w:b/>
              </w:rPr>
              <w:t>E</w:t>
            </w:r>
            <w:r w:rsidRPr="009337AF">
              <w:rPr>
                <w:rFonts w:ascii="Arial" w:hAnsi="Arial" w:cs="Arial"/>
                <w:b/>
              </w:rPr>
              <w:t xml:space="preserve"> COMPORTAMENTOS</w:t>
            </w:r>
          </w:p>
          <w:p w14:paraId="542AB986" w14:textId="77777777" w:rsidR="007A57EE" w:rsidRPr="009337AF" w:rsidRDefault="007A57EE" w:rsidP="00B929E2">
            <w:pPr>
              <w:rPr>
                <w:rFonts w:ascii="Arial" w:hAnsi="Arial" w:cs="Arial"/>
                <w:b/>
              </w:rPr>
            </w:pPr>
          </w:p>
        </w:tc>
      </w:tr>
      <w:tr w:rsidR="007A57EE" w:rsidRPr="009337AF" w14:paraId="367AC600" w14:textId="77777777" w:rsidTr="00703AC1">
        <w:tc>
          <w:tcPr>
            <w:tcW w:w="2665" w:type="dxa"/>
          </w:tcPr>
          <w:p w14:paraId="022F241C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890556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219 – Audiência admonitória – Regime aberto</w:t>
            </w:r>
          </w:p>
        </w:tc>
        <w:tc>
          <w:tcPr>
            <w:tcW w:w="6265" w:type="dxa"/>
          </w:tcPr>
          <w:p w14:paraId="549E92CE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72BC28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Evento que permite o registro e o início do acompanhamento do regime aberto.</w:t>
            </w:r>
          </w:p>
          <w:p w14:paraId="66A923C5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CE2339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Para lançá-lo é preciso já ter sido informado um evento de sentença/acórdão com aplicação de regime aberto, ou ser o regime atual o aberto.</w:t>
            </w:r>
          </w:p>
          <w:p w14:paraId="5C29EF56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CFA7D6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Ao ser lançado, o SAJ abre aba “Acomp. Aberto” e tela que permite o cadastrado das condições impostas na audiência admonitória.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_Ref519700121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 xml:space="preserve">Figura </w:t>
            </w:r>
            <w:r w:rsidR="00B8081D" w:rsidRPr="00B8081D">
              <w:rPr>
                <w:rFonts w:ascii="Arial" w:hAnsi="Arial" w:cs="Arial"/>
                <w:b/>
                <w:noProof/>
                <w:sz w:val="24"/>
                <w:szCs w:val="24"/>
              </w:rPr>
              <w:t>12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6C66954E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9337AF" w14:paraId="3639A6AD" w14:textId="77777777" w:rsidTr="00703AC1">
        <w:tc>
          <w:tcPr>
            <w:tcW w:w="2665" w:type="dxa"/>
          </w:tcPr>
          <w:p w14:paraId="1F0AC0CC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9320EE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256 – Encerramento do acompanhamento do regime aberto                                 </w:t>
            </w:r>
          </w:p>
        </w:tc>
        <w:tc>
          <w:tcPr>
            <w:tcW w:w="6265" w:type="dxa"/>
          </w:tcPr>
          <w:p w14:paraId="79634DF5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B2A7D0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Evento que deve ser lançado, por exemplo, quando a parte descumpre as condições do regime aberto ou quando é necessário lançar um novo evento de audiência admonitória, por exemplo, quando da redistribuição de PECs entre foros.</w:t>
            </w:r>
          </w:p>
          <w:p w14:paraId="6DDCC17C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F793AE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Ao ser lançado o sistema encerras as apresentações em aberto e considera as apresentações registradas como tempo cumprido de pena. </w:t>
            </w:r>
            <w:r w:rsidRPr="004F0DA7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Pr="004F0DA7">
              <w:rPr>
                <w:rFonts w:cs="Arial"/>
                <w:b/>
              </w:rPr>
              <w:fldChar w:fldCharType="begin"/>
            </w:r>
            <w:r w:rsidRPr="004F0DA7">
              <w:rPr>
                <w:rFonts w:ascii="Arial" w:hAnsi="Arial" w:cs="Arial"/>
                <w:b/>
                <w:sz w:val="24"/>
                <w:szCs w:val="24"/>
              </w:rPr>
              <w:instrText xml:space="preserve"> REF _Ref518998667 \h  \* MERGEFORMAT </w:instrText>
            </w:r>
            <w:r w:rsidRPr="004F0DA7">
              <w:rPr>
                <w:rFonts w:cs="Arial"/>
                <w:b/>
              </w:rPr>
            </w:r>
            <w:r w:rsidRPr="004F0DA7">
              <w:rPr>
                <w:rFonts w:cs="Arial"/>
                <w:b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>Figura 13</w:t>
            </w:r>
            <w:r w:rsidRPr="004F0DA7">
              <w:rPr>
                <w:rFonts w:cs="Arial"/>
                <w:b/>
              </w:rPr>
              <w:fldChar w:fldCharType="end"/>
            </w:r>
            <w:r w:rsidRPr="004F0DA7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5CE947C3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72DD9A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Diante do restabelecimento do regime aberto ou da realização de nova audiência admonitória para fixação de novas condições, deve-se lançar novamente o evento “219 – Audiência admonitória – Regime Aberto” para poder registrar novamente as condições que deverão ser cumpridas.</w:t>
            </w:r>
          </w:p>
          <w:p w14:paraId="5DAC4E03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BC0FAA" w14:textId="77777777" w:rsidR="007A57EE" w:rsidRDefault="007A57EE" w:rsidP="007A57EE">
      <w:pPr>
        <w:keepNext/>
        <w:jc w:val="both"/>
      </w:pPr>
    </w:p>
    <w:p w14:paraId="35B1DE46" w14:textId="77777777" w:rsidR="007A57EE" w:rsidRPr="00933500" w:rsidRDefault="007A57EE" w:rsidP="007A57EE">
      <w:pPr>
        <w:keepNext/>
        <w:jc w:val="center"/>
        <w:rPr>
          <w:b/>
        </w:rPr>
      </w:pPr>
      <w:r w:rsidRPr="00933500">
        <w:rPr>
          <w:b/>
          <w:noProof/>
          <w:lang w:eastAsia="pt-BR" w:bidi="ar-SA"/>
        </w:rPr>
        <w:drawing>
          <wp:inline distT="0" distB="0" distL="0" distR="0" wp14:anchorId="4925D568" wp14:editId="4B78DF88">
            <wp:extent cx="4832647" cy="3064606"/>
            <wp:effectExtent l="0" t="0" r="6350" b="25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125" cy="3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0464" w14:textId="77777777" w:rsidR="007A57EE" w:rsidRDefault="007A57EE" w:rsidP="007A57EE">
      <w:pPr>
        <w:pStyle w:val="Legenda"/>
        <w:jc w:val="center"/>
        <w:rPr>
          <w:b/>
          <w:i w:val="0"/>
        </w:rPr>
      </w:pPr>
      <w:bookmarkStart w:id="12" w:name="_Ref519700121"/>
      <w:r w:rsidRPr="00933500">
        <w:rPr>
          <w:b/>
          <w:i w:val="0"/>
        </w:rPr>
        <w:t xml:space="preserve">Figura </w:t>
      </w:r>
      <w:r w:rsidRPr="00933500">
        <w:rPr>
          <w:b/>
          <w:i w:val="0"/>
        </w:rPr>
        <w:fldChar w:fldCharType="begin"/>
      </w:r>
      <w:r w:rsidRPr="00933500">
        <w:rPr>
          <w:b/>
          <w:i w:val="0"/>
        </w:rPr>
        <w:instrText xml:space="preserve"> SEQ Figura \* ARABIC </w:instrText>
      </w:r>
      <w:r w:rsidRPr="00933500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12</w:t>
      </w:r>
      <w:r w:rsidRPr="00933500">
        <w:rPr>
          <w:b/>
          <w:i w:val="0"/>
        </w:rPr>
        <w:fldChar w:fldCharType="end"/>
      </w:r>
      <w:bookmarkEnd w:id="12"/>
      <w:r w:rsidRPr="00933500">
        <w:rPr>
          <w:b/>
          <w:i w:val="0"/>
        </w:rPr>
        <w:t xml:space="preserve"> - Audiência admonitória - Regime aberto</w:t>
      </w:r>
    </w:p>
    <w:p w14:paraId="061A2575" w14:textId="77777777" w:rsidR="007A57EE" w:rsidRPr="00E538BE" w:rsidRDefault="007A57EE" w:rsidP="007A57EE"/>
    <w:p w14:paraId="341BA4AA" w14:textId="77777777" w:rsidR="007A57EE" w:rsidRDefault="007A57EE" w:rsidP="007A57EE">
      <w:pPr>
        <w:keepNext/>
        <w:jc w:val="center"/>
      </w:pPr>
      <w:r>
        <w:rPr>
          <w:noProof/>
          <w:lang w:eastAsia="pt-BR" w:bidi="ar-SA"/>
        </w:rPr>
        <w:drawing>
          <wp:inline distT="0" distB="0" distL="0" distR="0" wp14:anchorId="77243BB2" wp14:editId="44130CF5">
            <wp:extent cx="5748838" cy="2826327"/>
            <wp:effectExtent l="0" t="0" r="444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906" cy="29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D936" w14:textId="77777777" w:rsidR="007A57EE" w:rsidRDefault="007A57EE" w:rsidP="007A57EE">
      <w:pPr>
        <w:pStyle w:val="Legenda"/>
        <w:jc w:val="center"/>
        <w:rPr>
          <w:b/>
          <w:i w:val="0"/>
        </w:rPr>
      </w:pPr>
      <w:bookmarkStart w:id="13" w:name="_Ref518998667"/>
      <w:r w:rsidRPr="00D65047">
        <w:rPr>
          <w:b/>
          <w:i w:val="0"/>
        </w:rPr>
        <w:t xml:space="preserve">Figura </w:t>
      </w:r>
      <w:r w:rsidRPr="00D65047">
        <w:rPr>
          <w:b/>
          <w:i w:val="0"/>
        </w:rPr>
        <w:fldChar w:fldCharType="begin"/>
      </w:r>
      <w:r w:rsidRPr="00D65047">
        <w:rPr>
          <w:b/>
          <w:i w:val="0"/>
        </w:rPr>
        <w:instrText xml:space="preserve"> SEQ Figura \* ARABIC </w:instrText>
      </w:r>
      <w:r w:rsidRPr="00D6504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13</w:t>
      </w:r>
      <w:r w:rsidRPr="00D65047">
        <w:rPr>
          <w:b/>
          <w:i w:val="0"/>
        </w:rPr>
        <w:fldChar w:fldCharType="end"/>
      </w:r>
      <w:bookmarkEnd w:id="13"/>
      <w:r w:rsidRPr="00D65047">
        <w:rPr>
          <w:b/>
          <w:i w:val="0"/>
        </w:rPr>
        <w:t xml:space="preserve"> - Encerramento do acompanhamento do regime aberto</w:t>
      </w:r>
    </w:p>
    <w:p w14:paraId="5401C315" w14:textId="77777777" w:rsidR="007A57EE" w:rsidRPr="00C35DBD" w:rsidRDefault="007A57EE" w:rsidP="007A57EE"/>
    <w:p w14:paraId="4ADB94A3" w14:textId="77777777" w:rsidR="00106E92" w:rsidRDefault="00106E92" w:rsidP="004F0DA7">
      <w:pPr>
        <w:pStyle w:val="TJSC-CorpodoTexto"/>
        <w:rPr>
          <w:b/>
        </w:rPr>
      </w:pPr>
    </w:p>
    <w:p w14:paraId="64E1FCD1" w14:textId="77777777" w:rsidR="00106E92" w:rsidRDefault="00106E92" w:rsidP="004F0DA7">
      <w:pPr>
        <w:pStyle w:val="TJSC-CorpodoTexto"/>
        <w:rPr>
          <w:b/>
        </w:rPr>
      </w:pPr>
    </w:p>
    <w:p w14:paraId="4CACC254" w14:textId="77777777" w:rsidR="00106E92" w:rsidRDefault="00106E92" w:rsidP="004F0DA7">
      <w:pPr>
        <w:pStyle w:val="TJSC-CorpodoTexto"/>
        <w:rPr>
          <w:b/>
        </w:rPr>
      </w:pPr>
    </w:p>
    <w:p w14:paraId="1AA7F9A5" w14:textId="77777777" w:rsidR="00106E92" w:rsidRDefault="00106E92" w:rsidP="004F0DA7">
      <w:pPr>
        <w:pStyle w:val="TJSC-CorpodoTexto"/>
        <w:rPr>
          <w:b/>
        </w:rPr>
      </w:pPr>
    </w:p>
    <w:p w14:paraId="3920DC59" w14:textId="77777777" w:rsidR="00106E92" w:rsidRDefault="00106E92" w:rsidP="004F0DA7">
      <w:pPr>
        <w:pStyle w:val="TJSC-CorpodoTexto"/>
        <w:rPr>
          <w:b/>
        </w:rPr>
      </w:pPr>
    </w:p>
    <w:p w14:paraId="3CB21F05" w14:textId="77777777" w:rsidR="00106E92" w:rsidRDefault="00106E92" w:rsidP="004F0DA7">
      <w:pPr>
        <w:pStyle w:val="TJSC-CorpodoTexto"/>
        <w:rPr>
          <w:b/>
        </w:rPr>
      </w:pPr>
    </w:p>
    <w:p w14:paraId="185CD0BF" w14:textId="77777777" w:rsidR="00106E92" w:rsidRDefault="00106E92" w:rsidP="004F0DA7">
      <w:pPr>
        <w:pStyle w:val="TJSC-CorpodoTexto"/>
        <w:rPr>
          <w:b/>
        </w:rPr>
      </w:pPr>
    </w:p>
    <w:p w14:paraId="62A5EDFE" w14:textId="726870D3" w:rsidR="007A57EE" w:rsidRDefault="00F10F3A" w:rsidP="004F0DA7">
      <w:pPr>
        <w:pStyle w:val="TJSC-CorpodoTexto"/>
      </w:pPr>
      <w:r>
        <w:rPr>
          <w:b/>
        </w:rPr>
        <w:lastRenderedPageBreak/>
        <w:t xml:space="preserve">6. </w:t>
      </w:r>
      <w:r w:rsidR="007A57EE" w:rsidRPr="00EC36F4">
        <w:rPr>
          <w:b/>
        </w:rPr>
        <w:t xml:space="preserve">Penas </w:t>
      </w:r>
      <w:r w:rsidR="007A57EE">
        <w:rPr>
          <w:b/>
        </w:rPr>
        <w:t>r</w:t>
      </w:r>
      <w:r w:rsidR="007A57EE" w:rsidRPr="00EC36F4">
        <w:rPr>
          <w:b/>
        </w:rPr>
        <w:t xml:space="preserve">estritivas de </w:t>
      </w:r>
      <w:r w:rsidR="007A57EE">
        <w:rPr>
          <w:b/>
        </w:rPr>
        <w:t>d</w:t>
      </w:r>
      <w:r w:rsidR="007A57EE" w:rsidRPr="00EC36F4">
        <w:rPr>
          <w:b/>
        </w:rPr>
        <w:t>ireito</w:t>
      </w:r>
      <w:r w:rsidR="007A57EE">
        <w:rPr>
          <w:b/>
        </w:rPr>
        <w:t>s</w:t>
      </w:r>
      <w:r w:rsidR="007A57EE" w:rsidRPr="00EC36F4">
        <w:rPr>
          <w:b/>
        </w:rPr>
        <w:t>:</w:t>
      </w:r>
      <w:r w:rsidR="007A57EE">
        <w:t xml:space="preserve"> </w:t>
      </w:r>
      <w:r w:rsidR="007A57EE" w:rsidRPr="00EC36F4">
        <w:t xml:space="preserve"> sanção penal imposta em substituição à pena privativa de liberdade consistente na supressão ou diminuição de um ou mais direitos do condenado. Trata-se de espécie de pena alternativa. </w:t>
      </w:r>
      <w:r w:rsidR="007A57EE">
        <w:t>São</w:t>
      </w:r>
      <w:r w:rsidR="007A57EE" w:rsidRPr="00EC36F4">
        <w:t xml:space="preserve"> aplicad</w:t>
      </w:r>
      <w:r w:rsidR="007A57EE">
        <w:t>as</w:t>
      </w:r>
      <w:r w:rsidR="007A57EE" w:rsidRPr="00EC36F4">
        <w:t xml:space="preserve"> aos crimes com menor grau de responsabilidade, com penas mais brandas. </w:t>
      </w:r>
    </w:p>
    <w:p w14:paraId="57466AC2" w14:textId="77777777" w:rsidR="007A57EE" w:rsidRDefault="007A57EE" w:rsidP="004F0DA7">
      <w:pPr>
        <w:pStyle w:val="TJSC-CorpodoTexto"/>
      </w:pPr>
      <w:r w:rsidRPr="00EC36F4">
        <w:t xml:space="preserve">São penas restritivas de direitos: a prestação pecuniária, a perda de bens e valores, a prestação de serviço à comunidade ou </w:t>
      </w:r>
      <w:r>
        <w:t>às</w:t>
      </w:r>
      <w:r w:rsidRPr="00EC36F4">
        <w:t xml:space="preserve"> entidades públicas, a interdição temporária de direitos e a limitação de fim de semana.</w:t>
      </w:r>
    </w:p>
    <w:p w14:paraId="437A8B9D" w14:textId="77777777" w:rsidR="007A57EE" w:rsidRPr="00933500" w:rsidRDefault="007A57EE" w:rsidP="007A57EE">
      <w:pPr>
        <w:pStyle w:val="PargrafodaLista"/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8931" w:type="dxa"/>
        <w:tblInd w:w="-5" w:type="dxa"/>
        <w:tblLook w:val="04A0" w:firstRow="1" w:lastRow="0" w:firstColumn="1" w:lastColumn="0" w:noHBand="0" w:noVBand="1"/>
      </w:tblPr>
      <w:tblGrid>
        <w:gridCol w:w="2835"/>
        <w:gridCol w:w="6096"/>
      </w:tblGrid>
      <w:tr w:rsidR="007A57EE" w:rsidRPr="00531B1A" w14:paraId="0561B2BA" w14:textId="77777777" w:rsidTr="00703AC1">
        <w:trPr>
          <w:trHeight w:val="85"/>
        </w:trPr>
        <w:tc>
          <w:tcPr>
            <w:tcW w:w="8931" w:type="dxa"/>
            <w:gridSpan w:val="2"/>
            <w:shd w:val="clear" w:color="auto" w:fill="DEEAF6" w:themeFill="accent1" w:themeFillTint="33"/>
          </w:tcPr>
          <w:p w14:paraId="4F4AD888" w14:textId="77777777" w:rsidR="007A57EE" w:rsidRPr="002D777A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PENAS RESTRITIV</w:t>
            </w:r>
            <w:r w:rsidRPr="002D777A">
              <w:rPr>
                <w:rFonts w:ascii="Arial" w:hAnsi="Arial" w:cs="Arial"/>
                <w:b/>
              </w:rPr>
              <w:t>AS DE DIREITO</w:t>
            </w:r>
            <w:r>
              <w:rPr>
                <w:rFonts w:ascii="Arial" w:hAnsi="Arial" w:cs="Arial"/>
                <w:b/>
              </w:rPr>
              <w:t>S</w:t>
            </w:r>
          </w:p>
        </w:tc>
      </w:tr>
      <w:tr w:rsidR="007A57EE" w:rsidRPr="00531B1A" w14:paraId="15301A8D" w14:textId="77777777" w:rsidTr="00703AC1">
        <w:tc>
          <w:tcPr>
            <w:tcW w:w="2835" w:type="dxa"/>
            <w:shd w:val="clear" w:color="auto" w:fill="FBE4D5" w:themeFill="accent2" w:themeFillTint="33"/>
          </w:tcPr>
          <w:p w14:paraId="10122A78" w14:textId="77777777" w:rsidR="007A57EE" w:rsidRPr="00E838F2" w:rsidRDefault="007A57EE" w:rsidP="00B929E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838F2">
              <w:rPr>
                <w:rFonts w:ascii="Arial" w:hAnsi="Arial" w:cs="Arial"/>
                <w:b/>
                <w:sz w:val="20"/>
              </w:rPr>
              <w:t>EVENTOS</w:t>
            </w:r>
          </w:p>
        </w:tc>
        <w:tc>
          <w:tcPr>
            <w:tcW w:w="6096" w:type="dxa"/>
            <w:shd w:val="clear" w:color="auto" w:fill="FBE4D5" w:themeFill="accent2" w:themeFillTint="33"/>
          </w:tcPr>
          <w:p w14:paraId="23F3E71B" w14:textId="77777777" w:rsidR="007A57EE" w:rsidRDefault="007A57EE" w:rsidP="00B929E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838F2">
              <w:rPr>
                <w:rFonts w:ascii="Arial" w:hAnsi="Arial" w:cs="Arial"/>
                <w:b/>
                <w:sz w:val="20"/>
              </w:rPr>
              <w:t xml:space="preserve">APLICAÇÃO DO EVENTO </w:t>
            </w:r>
            <w:r>
              <w:rPr>
                <w:rFonts w:ascii="Arial" w:hAnsi="Arial" w:cs="Arial"/>
                <w:b/>
                <w:sz w:val="20"/>
              </w:rPr>
              <w:t>E</w:t>
            </w:r>
            <w:r w:rsidRPr="00E838F2">
              <w:rPr>
                <w:rFonts w:ascii="Arial" w:hAnsi="Arial" w:cs="Arial"/>
                <w:b/>
                <w:sz w:val="20"/>
              </w:rPr>
              <w:t xml:space="preserve"> COMPORTAMENTOS</w:t>
            </w:r>
          </w:p>
          <w:p w14:paraId="5EF5C269" w14:textId="77777777" w:rsidR="007A57EE" w:rsidRPr="00E838F2" w:rsidRDefault="007A57EE" w:rsidP="00B929E2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7A57EE" w:rsidRPr="00531B1A" w14:paraId="5D548937" w14:textId="77777777" w:rsidTr="00703AC1">
        <w:trPr>
          <w:trHeight w:val="758"/>
        </w:trPr>
        <w:tc>
          <w:tcPr>
            <w:tcW w:w="2835" w:type="dxa"/>
          </w:tcPr>
          <w:p w14:paraId="717755FB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2A7852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134 – Início do cumprimento da pena restritiva</w:t>
            </w:r>
          </w:p>
        </w:tc>
        <w:tc>
          <w:tcPr>
            <w:tcW w:w="6096" w:type="dxa"/>
          </w:tcPr>
          <w:p w14:paraId="1A569844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1C1E35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Evento que possibilita o registro e o acompanhamento do cumprimento das penas restritivas. </w:t>
            </w:r>
          </w:p>
          <w:p w14:paraId="5CBF7EE4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73CE0A" w14:textId="77777777" w:rsidR="007A57EE" w:rsidRPr="004F0DA7" w:rsidRDefault="007A57EE" w:rsidP="00B929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Ao ser lançado, o sistema abre aba “Acomp. Restritiva” e tela que permite o cadastro das condições impostas, e já traz a tela preenchida com as informações lançadas no evento de sentença. 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_Ref519765184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 xml:space="preserve">Figura </w:t>
            </w:r>
            <w:r w:rsidR="00B8081D" w:rsidRPr="00B8081D">
              <w:rPr>
                <w:rFonts w:ascii="Arial" w:hAnsi="Arial" w:cs="Arial"/>
                <w:b/>
                <w:noProof/>
                <w:sz w:val="24"/>
                <w:szCs w:val="24"/>
              </w:rPr>
              <w:t>14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AB42DFA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531B1A" w14:paraId="56FD88D2" w14:textId="77777777" w:rsidTr="00703AC1">
        <w:trPr>
          <w:trHeight w:val="757"/>
        </w:trPr>
        <w:tc>
          <w:tcPr>
            <w:tcW w:w="2835" w:type="dxa"/>
          </w:tcPr>
          <w:p w14:paraId="0F20E211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8D6CE8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275 – Revogação de pena restritiva de direitos</w:t>
            </w:r>
          </w:p>
        </w:tc>
        <w:tc>
          <w:tcPr>
            <w:tcW w:w="6096" w:type="dxa"/>
          </w:tcPr>
          <w:p w14:paraId="7B97EC1A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4989F9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Evento que deve ser lançado, por exemplo, quando a parte descumpre a pena, havendo a determinação de revogação.</w:t>
            </w:r>
          </w:p>
          <w:p w14:paraId="363ED7EB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EE30A2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Ao ser lançado, o sistema encerra as condições em andamento. </w:t>
            </w:r>
          </w:p>
          <w:p w14:paraId="03CC7DAA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>(</w:t>
            </w:r>
            <w:r w:rsidRPr="004F0DA7">
              <w:rPr>
                <w:rFonts w:cs="Arial"/>
              </w:rPr>
              <w:fldChar w:fldCharType="begin"/>
            </w:r>
            <w:r w:rsidRPr="004F0DA7">
              <w:rPr>
                <w:rFonts w:ascii="Arial" w:hAnsi="Arial" w:cs="Arial"/>
                <w:sz w:val="24"/>
                <w:szCs w:val="24"/>
              </w:rPr>
              <w:instrText xml:space="preserve"> REF _Ref519700539 \h  \* MERGEFORMAT </w:instrText>
            </w:r>
            <w:r w:rsidRPr="004F0DA7">
              <w:rPr>
                <w:rFonts w:cs="Arial"/>
              </w:rPr>
            </w:r>
            <w:r w:rsidRPr="004F0DA7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 xml:space="preserve">Figura </w:t>
            </w:r>
            <w:r w:rsidR="00B8081D" w:rsidRPr="00B8081D">
              <w:rPr>
                <w:rFonts w:ascii="Arial" w:hAnsi="Arial" w:cs="Arial"/>
                <w:b/>
                <w:noProof/>
                <w:sz w:val="24"/>
                <w:szCs w:val="24"/>
              </w:rPr>
              <w:t>15</w:t>
            </w:r>
            <w:r w:rsidRPr="004F0DA7">
              <w:rPr>
                <w:rFonts w:cs="Arial"/>
              </w:rPr>
              <w:fldChar w:fldCharType="end"/>
            </w:r>
            <w:r w:rsidRPr="004F0DA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7A57EE" w:rsidRPr="00531B1A" w14:paraId="05C670A1" w14:textId="77777777" w:rsidTr="00703AC1">
        <w:trPr>
          <w:trHeight w:val="757"/>
        </w:trPr>
        <w:tc>
          <w:tcPr>
            <w:tcW w:w="2835" w:type="dxa"/>
          </w:tcPr>
          <w:p w14:paraId="5776C49E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61C38F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121 – Conversão de pena                                                               </w:t>
            </w:r>
          </w:p>
        </w:tc>
        <w:tc>
          <w:tcPr>
            <w:tcW w:w="6096" w:type="dxa"/>
          </w:tcPr>
          <w:p w14:paraId="7B97F679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D782A3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4F0DA7">
              <w:rPr>
                <w:rFonts w:ascii="Arial" w:hAnsi="Arial" w:cs="Arial"/>
                <w:sz w:val="24"/>
                <w:szCs w:val="24"/>
              </w:rPr>
              <w:t xml:space="preserve">Converte a pena restritiva de direitos em pena privativa de liberdade (nas hipóteses em que é possível). É necessário informar quantos dias foram convertidos, o que geralmente é definido pelo magistrado. </w:t>
            </w:r>
          </w:p>
          <w:p w14:paraId="59BB6960" w14:textId="77777777" w:rsidR="007A57EE" w:rsidRPr="004F0DA7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DB816B" w14:textId="77777777" w:rsidR="007A57EE" w:rsidRDefault="007A57EE" w:rsidP="007A57EE">
      <w:pPr>
        <w:jc w:val="both"/>
        <w:rPr>
          <w:rFonts w:cs="Arial"/>
        </w:rPr>
      </w:pPr>
    </w:p>
    <w:p w14:paraId="0800B0CE" w14:textId="77777777" w:rsidR="007A57EE" w:rsidRDefault="007A57EE" w:rsidP="007A57EE">
      <w:pPr>
        <w:keepNext/>
        <w:rPr>
          <w:b/>
        </w:rPr>
      </w:pPr>
      <w:r w:rsidRPr="003F0DD6">
        <w:rPr>
          <w:b/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29E4DF0F" wp14:editId="4C4E03F0">
            <wp:simplePos x="0" y="0"/>
            <wp:positionH relativeFrom="column">
              <wp:posOffset>356870</wp:posOffset>
            </wp:positionH>
            <wp:positionV relativeFrom="paragraph">
              <wp:posOffset>75565</wp:posOffset>
            </wp:positionV>
            <wp:extent cx="5269230" cy="3343275"/>
            <wp:effectExtent l="19050" t="0" r="762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14:paraId="1D8B7487" w14:textId="77777777" w:rsidR="007A57EE" w:rsidRDefault="007A57EE" w:rsidP="007A57EE">
      <w:pPr>
        <w:pStyle w:val="Legenda"/>
        <w:jc w:val="center"/>
        <w:rPr>
          <w:b/>
          <w:i w:val="0"/>
        </w:rPr>
      </w:pPr>
      <w:bookmarkStart w:id="14" w:name="_Ref519765184"/>
      <w:bookmarkStart w:id="15" w:name="_Ref519765179"/>
      <w:r w:rsidRPr="003F0DD6">
        <w:rPr>
          <w:b/>
          <w:i w:val="0"/>
        </w:rPr>
        <w:t xml:space="preserve">Figura </w:t>
      </w:r>
      <w:r w:rsidRPr="003F0DD6">
        <w:rPr>
          <w:b/>
          <w:i w:val="0"/>
        </w:rPr>
        <w:fldChar w:fldCharType="begin"/>
      </w:r>
      <w:r w:rsidRPr="003F0DD6">
        <w:rPr>
          <w:b/>
          <w:i w:val="0"/>
        </w:rPr>
        <w:instrText xml:space="preserve"> SEQ Figura \* ARABIC </w:instrText>
      </w:r>
      <w:r w:rsidRPr="003F0DD6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14</w:t>
      </w:r>
      <w:r w:rsidRPr="003F0DD6">
        <w:rPr>
          <w:b/>
          <w:i w:val="0"/>
        </w:rPr>
        <w:fldChar w:fldCharType="end"/>
      </w:r>
      <w:bookmarkEnd w:id="14"/>
      <w:r w:rsidRPr="003F0DD6">
        <w:rPr>
          <w:b/>
          <w:i w:val="0"/>
        </w:rPr>
        <w:t xml:space="preserve"> - Acompanhamento da pena restritiva</w:t>
      </w:r>
      <w:bookmarkEnd w:id="15"/>
    </w:p>
    <w:p w14:paraId="0A022089" w14:textId="77777777" w:rsidR="007A57EE" w:rsidRPr="003F0DD6" w:rsidRDefault="007A57EE" w:rsidP="007A57EE"/>
    <w:p w14:paraId="0EA6D1CF" w14:textId="77777777" w:rsidR="007A57EE" w:rsidRPr="00302AA2" w:rsidRDefault="007A57EE" w:rsidP="007A57EE">
      <w:pPr>
        <w:keepNext/>
        <w:jc w:val="center"/>
        <w:rPr>
          <w:b/>
        </w:rPr>
      </w:pPr>
      <w:r w:rsidRPr="00302AA2">
        <w:rPr>
          <w:b/>
          <w:noProof/>
          <w:lang w:eastAsia="pt-BR" w:bidi="ar-SA"/>
        </w:rPr>
        <w:drawing>
          <wp:inline distT="0" distB="0" distL="0" distR="0" wp14:anchorId="67F9DE95" wp14:editId="77DCF682">
            <wp:extent cx="5878286" cy="288404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043" cy="28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A1DB" w14:textId="77777777" w:rsidR="007A57EE" w:rsidRDefault="007A57EE" w:rsidP="007A57EE">
      <w:pPr>
        <w:pStyle w:val="Legenda"/>
        <w:jc w:val="center"/>
        <w:rPr>
          <w:b/>
          <w:i w:val="0"/>
        </w:rPr>
      </w:pPr>
      <w:bookmarkStart w:id="16" w:name="_Ref519700539"/>
      <w:r w:rsidRPr="00302AA2">
        <w:rPr>
          <w:b/>
          <w:i w:val="0"/>
        </w:rPr>
        <w:t xml:space="preserve">Figura </w:t>
      </w:r>
      <w:r w:rsidRPr="00302AA2">
        <w:rPr>
          <w:b/>
          <w:i w:val="0"/>
        </w:rPr>
        <w:fldChar w:fldCharType="begin"/>
      </w:r>
      <w:r w:rsidRPr="00302AA2">
        <w:rPr>
          <w:b/>
          <w:i w:val="0"/>
        </w:rPr>
        <w:instrText xml:space="preserve"> SEQ Figura \* ARABIC </w:instrText>
      </w:r>
      <w:r w:rsidRPr="00302AA2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15</w:t>
      </w:r>
      <w:r w:rsidRPr="00302AA2">
        <w:rPr>
          <w:b/>
          <w:i w:val="0"/>
        </w:rPr>
        <w:fldChar w:fldCharType="end"/>
      </w:r>
      <w:bookmarkEnd w:id="16"/>
      <w:r w:rsidRPr="00302AA2">
        <w:rPr>
          <w:b/>
          <w:i w:val="0"/>
        </w:rPr>
        <w:t xml:space="preserve"> - Revogação de pena restritiva de direitos</w:t>
      </w:r>
    </w:p>
    <w:p w14:paraId="0F0D161E" w14:textId="77777777" w:rsidR="007A57EE" w:rsidRPr="00F92FEF" w:rsidRDefault="007A57EE" w:rsidP="007A57EE"/>
    <w:p w14:paraId="04164249" w14:textId="77777777" w:rsidR="007A57EE" w:rsidRPr="00D54A69" w:rsidRDefault="007A57EE" w:rsidP="004F0DA7">
      <w:pPr>
        <w:pStyle w:val="TJSC-CorpodoTexto"/>
        <w:jc w:val="both"/>
      </w:pPr>
      <w:r w:rsidRPr="00F10F3A">
        <w:rPr>
          <w:b/>
        </w:rPr>
        <w:t>Observações em relação à Limitação de final de semana</w:t>
      </w:r>
      <w:r w:rsidRPr="00D54A69">
        <w:t>:</w:t>
      </w:r>
    </w:p>
    <w:p w14:paraId="64F9A5A3" w14:textId="77777777" w:rsidR="007A57EE" w:rsidRPr="00D54A69" w:rsidRDefault="007A57EE" w:rsidP="004F0DA7">
      <w:pPr>
        <w:pStyle w:val="TJSC-CorpodoTexto"/>
        <w:jc w:val="both"/>
      </w:pPr>
      <w:r w:rsidRPr="00D54A69">
        <w:t>Nos casos em que a pena restritiva consiste na limitação de final de semana, o lançamento pode ser feito de duas maneiras, dependendo da forma como a pena é cumprida:</w:t>
      </w:r>
    </w:p>
    <w:p w14:paraId="5854441E" w14:textId="6DB643A7" w:rsidR="007A57EE" w:rsidRPr="00D54A69" w:rsidRDefault="004F0DA7" w:rsidP="004F0DA7">
      <w:pPr>
        <w:pStyle w:val="TJSC-CorpodoTexto"/>
        <w:jc w:val="both"/>
      </w:pPr>
      <w:r w:rsidRPr="004F0DA7">
        <w:rPr>
          <w:b/>
        </w:rPr>
        <w:t>a) q</w:t>
      </w:r>
      <w:r w:rsidR="007A57EE" w:rsidRPr="004F0DA7">
        <w:rPr>
          <w:b/>
        </w:rPr>
        <w:t xml:space="preserve">uando o cumprimento é feito mediante apresentações periódicas </w:t>
      </w:r>
      <w:r w:rsidR="007A57EE" w:rsidRPr="004F0DA7">
        <w:rPr>
          <w:b/>
        </w:rPr>
        <w:lastRenderedPageBreak/>
        <w:t>em juízo</w:t>
      </w:r>
      <w:r w:rsidR="007A57EE" w:rsidRPr="00D54A69">
        <w:t>:</w:t>
      </w:r>
    </w:p>
    <w:p w14:paraId="33C60DF0" w14:textId="77777777" w:rsidR="007A57EE" w:rsidRPr="00D54A69" w:rsidRDefault="007A57EE" w:rsidP="004F0DA7">
      <w:pPr>
        <w:pStyle w:val="TJSC-CorpodoTexto"/>
        <w:jc w:val="both"/>
      </w:pPr>
      <w:r w:rsidRPr="00D54A69">
        <w:t xml:space="preserve">Deve-se, nesse caso, cadastrar a limitação com o tipo de condição “Apresentação”, oportunidade em que o sistema gera as previsões de apresentações de acordo com as datas de início, término e periodicidade definidas </w:t>
      </w:r>
      <w:r w:rsidRPr="00F10F3A">
        <w:rPr>
          <w:b/>
        </w:rPr>
        <w:t>(</w:t>
      </w:r>
      <w:r w:rsidRPr="00F10F3A">
        <w:rPr>
          <w:b/>
        </w:rPr>
        <w:fldChar w:fldCharType="begin"/>
      </w:r>
      <w:r w:rsidRPr="00F10F3A">
        <w:rPr>
          <w:b/>
        </w:rPr>
        <w:instrText xml:space="preserve"> REF _Ref522109418 \h  \* MERGEFORMAT </w:instrText>
      </w:r>
      <w:r w:rsidRPr="00F10F3A">
        <w:rPr>
          <w:b/>
        </w:rPr>
      </w:r>
      <w:r w:rsidRPr="00F10F3A">
        <w:rPr>
          <w:b/>
        </w:rPr>
        <w:fldChar w:fldCharType="separate"/>
      </w:r>
      <w:r w:rsidR="00B8081D" w:rsidRPr="004F0DA7">
        <w:rPr>
          <w:b/>
        </w:rPr>
        <w:t xml:space="preserve">Figura </w:t>
      </w:r>
      <w:r w:rsidR="00B8081D" w:rsidRPr="00B8081D">
        <w:rPr>
          <w:b/>
        </w:rPr>
        <w:t>16</w:t>
      </w:r>
      <w:r w:rsidRPr="00F10F3A">
        <w:rPr>
          <w:b/>
        </w:rPr>
        <w:fldChar w:fldCharType="end"/>
      </w:r>
      <w:r w:rsidRPr="00F10F3A">
        <w:rPr>
          <w:b/>
        </w:rPr>
        <w:t>)</w:t>
      </w:r>
      <w:r w:rsidRPr="00F10F3A">
        <w:t>.</w:t>
      </w:r>
    </w:p>
    <w:p w14:paraId="4A25B485" w14:textId="77777777" w:rsidR="007A57EE" w:rsidRPr="00D54A69" w:rsidRDefault="007A57EE" w:rsidP="004F0DA7">
      <w:pPr>
        <w:pStyle w:val="TJSC-CorpodoTexto"/>
        <w:jc w:val="both"/>
      </w:pPr>
      <w:r w:rsidRPr="00D54A69">
        <w:t>Lançando dessa forma, é possível controlar o cumprimento dessas condições através da biometria.</w:t>
      </w:r>
    </w:p>
    <w:p w14:paraId="238B268A" w14:textId="77777777" w:rsidR="007A57EE" w:rsidRPr="00D54A69" w:rsidRDefault="007A57EE" w:rsidP="004F0DA7">
      <w:pPr>
        <w:pStyle w:val="TJSC-CorpodoTexto"/>
        <w:jc w:val="both"/>
      </w:pPr>
    </w:p>
    <w:p w14:paraId="2C5235E7" w14:textId="77777777" w:rsidR="007A57EE" w:rsidRPr="00D54A69" w:rsidRDefault="007A57EE" w:rsidP="007A57EE">
      <w:pPr>
        <w:pStyle w:val="PargrafodaLista"/>
        <w:keepNext/>
        <w:spacing w:after="0"/>
        <w:ind w:left="0"/>
        <w:jc w:val="center"/>
      </w:pPr>
      <w:r w:rsidRPr="00D54A69">
        <w:rPr>
          <w:noProof/>
          <w:lang w:eastAsia="pt-BR"/>
        </w:rPr>
        <w:drawing>
          <wp:inline distT="0" distB="0" distL="0" distR="0" wp14:anchorId="72E9C725" wp14:editId="0D89C244">
            <wp:extent cx="4841123" cy="2909455"/>
            <wp:effectExtent l="57150" t="57150" r="112395" b="1200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4751" cy="291163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EABA7A" w14:textId="77777777" w:rsidR="007A57EE" w:rsidRPr="004F0DA7" w:rsidRDefault="007A57EE" w:rsidP="007A57EE">
      <w:pPr>
        <w:pStyle w:val="Legenda"/>
        <w:spacing w:after="0"/>
        <w:jc w:val="center"/>
        <w:rPr>
          <w:b/>
          <w:i w:val="0"/>
        </w:rPr>
      </w:pPr>
      <w:bookmarkStart w:id="17" w:name="_Ref522109418"/>
      <w:r w:rsidRPr="004F0DA7">
        <w:rPr>
          <w:b/>
          <w:i w:val="0"/>
        </w:rPr>
        <w:t xml:space="preserve">Figura </w:t>
      </w:r>
      <w:r w:rsidRPr="004F0DA7">
        <w:rPr>
          <w:b/>
          <w:i w:val="0"/>
        </w:rPr>
        <w:fldChar w:fldCharType="begin"/>
      </w:r>
      <w:r w:rsidRPr="004F0DA7">
        <w:rPr>
          <w:b/>
          <w:i w:val="0"/>
        </w:rPr>
        <w:instrText xml:space="preserve"> SEQ Figura \* ARABIC </w:instrText>
      </w:r>
      <w:r w:rsidRPr="004F0DA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16</w:t>
      </w:r>
      <w:r w:rsidRPr="004F0DA7">
        <w:rPr>
          <w:b/>
          <w:i w:val="0"/>
        </w:rPr>
        <w:fldChar w:fldCharType="end"/>
      </w:r>
      <w:bookmarkEnd w:id="17"/>
      <w:r w:rsidRPr="004F0DA7">
        <w:rPr>
          <w:b/>
          <w:i w:val="0"/>
        </w:rPr>
        <w:t xml:space="preserve"> - Limitação de final de semana (Apresentação)</w:t>
      </w:r>
    </w:p>
    <w:p w14:paraId="1000D92D" w14:textId="77777777" w:rsidR="007A57EE" w:rsidRPr="00D54A69" w:rsidRDefault="007A57EE" w:rsidP="007A57EE"/>
    <w:p w14:paraId="0B985AAF" w14:textId="77777777" w:rsidR="007A57EE" w:rsidRPr="004F0DA7" w:rsidRDefault="007A57EE" w:rsidP="007A57EE">
      <w:pPr>
        <w:pStyle w:val="PargrafodaLista"/>
        <w:rPr>
          <w:rFonts w:ascii="Arial" w:hAnsi="Arial" w:cs="Arial"/>
          <w:b/>
        </w:rPr>
      </w:pPr>
    </w:p>
    <w:p w14:paraId="6EDB9C0D" w14:textId="0E947FD2" w:rsidR="007A57EE" w:rsidRPr="00D54A69" w:rsidRDefault="004F0DA7" w:rsidP="004F0DA7">
      <w:pPr>
        <w:pStyle w:val="TJSC-CorpodoTexto"/>
      </w:pPr>
      <w:r w:rsidRPr="004F0DA7">
        <w:rPr>
          <w:b/>
        </w:rPr>
        <w:t>b) q</w:t>
      </w:r>
      <w:r w:rsidR="007A57EE" w:rsidRPr="004F0DA7">
        <w:rPr>
          <w:b/>
        </w:rPr>
        <w:t>uando o cumprimento se dá em horas</w:t>
      </w:r>
      <w:r w:rsidR="007A57EE" w:rsidRPr="00D54A69">
        <w:t>:</w:t>
      </w:r>
    </w:p>
    <w:p w14:paraId="35637B9B" w14:textId="77777777" w:rsidR="007A57EE" w:rsidRPr="004F0DA7" w:rsidRDefault="007A57EE" w:rsidP="004F0DA7">
      <w:pPr>
        <w:pStyle w:val="TJSC-CorpodoTexto"/>
        <w:jc w:val="both"/>
      </w:pPr>
      <w:r w:rsidRPr="004F0DA7">
        <w:t>O cadastro da limitação de final de semana, nesse caso, deve ser feito como um tipo de prestação, oportunidade em que o sistema habilita o controle em horas (</w:t>
      </w:r>
      <w:r w:rsidRPr="004F0DA7">
        <w:fldChar w:fldCharType="begin"/>
      </w:r>
      <w:r w:rsidRPr="004F0DA7">
        <w:instrText xml:space="preserve"> REF _Ref522108424 \h  \* MERGEFORMAT </w:instrText>
      </w:r>
      <w:r w:rsidRPr="004F0DA7">
        <w:fldChar w:fldCharType="separate"/>
      </w:r>
      <w:r w:rsidR="00B8081D" w:rsidRPr="00B8081D">
        <w:t>Figura 17</w:t>
      </w:r>
      <w:r w:rsidRPr="004F0DA7">
        <w:fldChar w:fldCharType="end"/>
      </w:r>
      <w:r w:rsidRPr="004F0DA7">
        <w:t>). O controle nesse caso se dará de forma manual, mediante o preenchimento das horas cumpridas.</w:t>
      </w:r>
    </w:p>
    <w:p w14:paraId="4489B68F" w14:textId="77777777" w:rsidR="007A57EE" w:rsidRPr="00D54A69" w:rsidRDefault="007A57EE" w:rsidP="007A57EE">
      <w:pPr>
        <w:keepNext/>
        <w:jc w:val="center"/>
      </w:pPr>
      <w:r w:rsidRPr="00D54A69">
        <w:rPr>
          <w:noProof/>
          <w:lang w:eastAsia="pt-BR" w:bidi="ar-SA"/>
        </w:rPr>
        <w:lastRenderedPageBreak/>
        <w:drawing>
          <wp:inline distT="0" distB="0" distL="0" distR="0" wp14:anchorId="78EE6CDD" wp14:editId="6DD34308">
            <wp:extent cx="5445446" cy="3311064"/>
            <wp:effectExtent l="0" t="0" r="3175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9964" cy="331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7033" w14:textId="77777777" w:rsidR="007A57EE" w:rsidRPr="004F0DA7" w:rsidRDefault="007A57EE" w:rsidP="007A57EE">
      <w:pPr>
        <w:pStyle w:val="Legenda"/>
        <w:spacing w:after="0"/>
        <w:jc w:val="center"/>
        <w:rPr>
          <w:rFonts w:cs="Arial"/>
          <w:b/>
          <w:i w:val="0"/>
        </w:rPr>
      </w:pPr>
      <w:bookmarkStart w:id="18" w:name="_Ref522108424"/>
      <w:r w:rsidRPr="004F0DA7">
        <w:rPr>
          <w:b/>
          <w:i w:val="0"/>
        </w:rPr>
        <w:t xml:space="preserve">Figura </w:t>
      </w:r>
      <w:r w:rsidRPr="004F0DA7">
        <w:rPr>
          <w:b/>
          <w:i w:val="0"/>
        </w:rPr>
        <w:fldChar w:fldCharType="begin"/>
      </w:r>
      <w:r w:rsidRPr="004F0DA7">
        <w:rPr>
          <w:b/>
          <w:i w:val="0"/>
        </w:rPr>
        <w:instrText xml:space="preserve"> SEQ Figura \* ARABIC </w:instrText>
      </w:r>
      <w:r w:rsidRPr="004F0DA7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17</w:t>
      </w:r>
      <w:r w:rsidRPr="004F0DA7">
        <w:rPr>
          <w:b/>
          <w:i w:val="0"/>
        </w:rPr>
        <w:fldChar w:fldCharType="end"/>
      </w:r>
      <w:bookmarkEnd w:id="18"/>
      <w:r w:rsidRPr="004F0DA7">
        <w:rPr>
          <w:b/>
          <w:i w:val="0"/>
        </w:rPr>
        <w:t xml:space="preserve"> - Limitação de final de semana (horas)</w:t>
      </w:r>
    </w:p>
    <w:p w14:paraId="54365614" w14:textId="77777777" w:rsidR="007A57EE" w:rsidRPr="00D54A69" w:rsidRDefault="007A57EE" w:rsidP="007A57EE">
      <w:pPr>
        <w:jc w:val="both"/>
        <w:rPr>
          <w:rFonts w:cs="Arial"/>
        </w:rPr>
      </w:pPr>
    </w:p>
    <w:p w14:paraId="4391195A" w14:textId="77777777" w:rsidR="007A57EE" w:rsidRPr="004F0DA7" w:rsidRDefault="007A57EE" w:rsidP="00ED5D01">
      <w:pPr>
        <w:pStyle w:val="TJSC-CorpodoTexto"/>
        <w:jc w:val="both"/>
      </w:pPr>
      <w:r w:rsidRPr="004F0DA7">
        <w:t xml:space="preserve">Deve-se utilizar apenas uma das opções, o que vai depender da definição do magistrado da vara a respeito da forma como deve ser cumprida essa pena. </w:t>
      </w:r>
    </w:p>
    <w:p w14:paraId="71421029" w14:textId="77777777" w:rsidR="00106E92" w:rsidRDefault="00106E92" w:rsidP="00ED5D01">
      <w:pPr>
        <w:pStyle w:val="TJSC-CorpodoTexto"/>
        <w:jc w:val="both"/>
        <w:rPr>
          <w:b/>
        </w:rPr>
      </w:pPr>
    </w:p>
    <w:p w14:paraId="313408CB" w14:textId="3101CB79" w:rsidR="007A57EE" w:rsidRPr="004F0DA7" w:rsidRDefault="00F10F3A" w:rsidP="00ED5D01">
      <w:pPr>
        <w:pStyle w:val="TJSC-CorpodoTexto"/>
        <w:jc w:val="both"/>
      </w:pPr>
      <w:r>
        <w:rPr>
          <w:b/>
        </w:rPr>
        <w:t xml:space="preserve">7. </w:t>
      </w:r>
      <w:r w:rsidR="007A57EE" w:rsidRPr="00ED5D01">
        <w:rPr>
          <w:b/>
        </w:rPr>
        <w:t>Livramento condicional</w:t>
      </w:r>
      <w:r w:rsidR="007A57EE" w:rsidRPr="004F0DA7">
        <w:t>: benefício legal concedido mediante critérios objetivos e subjetivos e cumprimento de determinadas condições, que permite a antecipação da reinserção do apenado ao convívio social, com o cumprimento de parte da pena em liberdade.</w:t>
      </w:r>
    </w:p>
    <w:p w14:paraId="34422D36" w14:textId="77777777" w:rsidR="007A57EE" w:rsidRDefault="007A57EE" w:rsidP="007A57EE">
      <w:pPr>
        <w:jc w:val="both"/>
        <w:rPr>
          <w:rFonts w:cs="Arial"/>
        </w:rPr>
      </w:pP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2525"/>
        <w:gridCol w:w="6547"/>
      </w:tblGrid>
      <w:tr w:rsidR="007A57EE" w:rsidRPr="009337AF" w14:paraId="1939BE85" w14:textId="77777777" w:rsidTr="00703AC1">
        <w:trPr>
          <w:trHeight w:val="335"/>
        </w:trPr>
        <w:tc>
          <w:tcPr>
            <w:tcW w:w="9072" w:type="dxa"/>
            <w:gridSpan w:val="2"/>
            <w:shd w:val="clear" w:color="auto" w:fill="DEEAF6" w:themeFill="accent1" w:themeFillTint="33"/>
          </w:tcPr>
          <w:p w14:paraId="69CD45CF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</w:p>
          <w:p w14:paraId="02FC0433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9337AF">
              <w:rPr>
                <w:rFonts w:ascii="Arial" w:hAnsi="Arial" w:cs="Arial"/>
                <w:b/>
              </w:rPr>
              <w:t>LIVRAMENTO CONDICIONAL</w:t>
            </w:r>
          </w:p>
        </w:tc>
      </w:tr>
      <w:tr w:rsidR="007A57EE" w:rsidRPr="009337AF" w14:paraId="2791D088" w14:textId="77777777" w:rsidTr="00703AC1">
        <w:trPr>
          <w:trHeight w:val="335"/>
        </w:trPr>
        <w:tc>
          <w:tcPr>
            <w:tcW w:w="2525" w:type="dxa"/>
            <w:shd w:val="clear" w:color="auto" w:fill="FBE4D5" w:themeFill="accent2" w:themeFillTint="33"/>
          </w:tcPr>
          <w:p w14:paraId="574EAB51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9337AF">
              <w:rPr>
                <w:rFonts w:ascii="Arial" w:hAnsi="Arial" w:cs="Arial"/>
                <w:b/>
              </w:rPr>
              <w:t>EVENTOS</w:t>
            </w:r>
          </w:p>
        </w:tc>
        <w:tc>
          <w:tcPr>
            <w:tcW w:w="6547" w:type="dxa"/>
            <w:shd w:val="clear" w:color="auto" w:fill="FBE4D5" w:themeFill="accent2" w:themeFillTint="33"/>
          </w:tcPr>
          <w:p w14:paraId="000F1959" w14:textId="77777777" w:rsidR="007A57EE" w:rsidRPr="009337AF" w:rsidRDefault="007A57EE" w:rsidP="00B929E2">
            <w:pPr>
              <w:jc w:val="center"/>
              <w:rPr>
                <w:rFonts w:ascii="Arial" w:hAnsi="Arial" w:cs="Arial"/>
                <w:b/>
              </w:rPr>
            </w:pPr>
            <w:r w:rsidRPr="009337AF">
              <w:rPr>
                <w:rFonts w:ascii="Arial" w:hAnsi="Arial" w:cs="Arial"/>
                <w:b/>
              </w:rPr>
              <w:t xml:space="preserve">APLICAÇÃO DO EVENTO </w:t>
            </w:r>
            <w:r>
              <w:rPr>
                <w:rFonts w:ascii="Arial" w:hAnsi="Arial" w:cs="Arial"/>
                <w:b/>
              </w:rPr>
              <w:t>E</w:t>
            </w:r>
            <w:r w:rsidRPr="009337AF">
              <w:rPr>
                <w:rFonts w:ascii="Arial" w:hAnsi="Arial" w:cs="Arial"/>
                <w:b/>
              </w:rPr>
              <w:t xml:space="preserve"> COMPORTAMENTOS</w:t>
            </w:r>
          </w:p>
          <w:p w14:paraId="5E4C136B" w14:textId="77777777" w:rsidR="007A57EE" w:rsidRPr="009337AF" w:rsidRDefault="007A57EE" w:rsidP="00B929E2">
            <w:pPr>
              <w:rPr>
                <w:rFonts w:ascii="Arial" w:hAnsi="Arial" w:cs="Arial"/>
                <w:b/>
              </w:rPr>
            </w:pPr>
          </w:p>
        </w:tc>
      </w:tr>
      <w:tr w:rsidR="007A57EE" w:rsidRPr="009337AF" w14:paraId="4C1BA1F0" w14:textId="77777777" w:rsidTr="00703AC1">
        <w:trPr>
          <w:trHeight w:val="335"/>
        </w:trPr>
        <w:tc>
          <w:tcPr>
            <w:tcW w:w="2525" w:type="dxa"/>
          </w:tcPr>
          <w:p w14:paraId="1FF9BEA9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141749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137 – Livramento condicional</w:t>
            </w:r>
          </w:p>
        </w:tc>
        <w:tc>
          <w:tcPr>
            <w:tcW w:w="6547" w:type="dxa"/>
          </w:tcPr>
          <w:p w14:paraId="5CCE26B5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AFC9C3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Evento que possibilita o registro e o acompanhamento do cumprimento do livramento condicional, devendo ser lançado na data em que foi realizada a audiência que concedeu o livramento condicional.</w:t>
            </w:r>
          </w:p>
          <w:p w14:paraId="51DC4024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957A20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Ao ser lançado, o sistema abre aba “Liv. Condicional” e tela que permite o cadastro das condições impostas.</w:t>
            </w:r>
          </w:p>
          <w:p w14:paraId="467AD752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A33961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Para poder lançar esse evento é necessário que já tenha sido lançado evento de prisão, devendo a prisão estar em andamento. (</w:t>
            </w:r>
            <w:r w:rsidRPr="00DC7E44">
              <w:rPr>
                <w:rFonts w:cs="Arial"/>
              </w:rPr>
              <w:fldChar w:fldCharType="begin"/>
            </w:r>
            <w:r w:rsidRPr="00DC7E44">
              <w:rPr>
                <w:rFonts w:ascii="Arial" w:hAnsi="Arial" w:cs="Arial"/>
                <w:sz w:val="24"/>
                <w:szCs w:val="24"/>
              </w:rPr>
              <w:instrText xml:space="preserve"> REF _Ref519766441 \h  \* MERGEFORMAT </w:instrText>
            </w:r>
            <w:r w:rsidRPr="00DC7E44">
              <w:rPr>
                <w:rFonts w:cs="Arial"/>
              </w:rPr>
            </w:r>
            <w:r w:rsidRPr="00DC7E44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 xml:space="preserve">Figura </w:t>
            </w:r>
            <w:r w:rsidR="00B8081D" w:rsidRPr="00B8081D">
              <w:rPr>
                <w:rFonts w:ascii="Arial" w:hAnsi="Arial" w:cs="Arial"/>
                <w:b/>
                <w:noProof/>
                <w:sz w:val="24"/>
                <w:szCs w:val="24"/>
              </w:rPr>
              <w:t>18</w:t>
            </w:r>
            <w:r w:rsidRPr="00DC7E44">
              <w:rPr>
                <w:rFonts w:cs="Arial"/>
              </w:rPr>
              <w:fldChar w:fldCharType="end"/>
            </w:r>
            <w:r w:rsidRPr="00DC7E44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1DDD4137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9337AF" w14:paraId="35DA8E88" w14:textId="77777777" w:rsidTr="00703AC1">
        <w:trPr>
          <w:trHeight w:val="335"/>
        </w:trPr>
        <w:tc>
          <w:tcPr>
            <w:tcW w:w="2525" w:type="dxa"/>
          </w:tcPr>
          <w:p w14:paraId="5B204E8D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725350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141 – Revogação do livramento condicional/não consid. período (arts. 86, I, e 87 do CP)</w:t>
            </w:r>
          </w:p>
        </w:tc>
        <w:tc>
          <w:tcPr>
            <w:tcW w:w="6547" w:type="dxa"/>
          </w:tcPr>
          <w:p w14:paraId="19F2E09B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9F6B29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 xml:space="preserve">Deve ser lançado quando ocorre a revogação do livramento condicional e o magistrado determina que o tempo cumprido não deve ser considerado como pena cumprida. </w:t>
            </w:r>
          </w:p>
          <w:p w14:paraId="1FDEC280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D865FB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 xml:space="preserve">Ao lançar esse evento, o sistema encerra as apresentações abertas, assim como as demais condições lançadas. </w:t>
            </w:r>
          </w:p>
          <w:p w14:paraId="6BCD163A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9337AF" w14:paraId="3FF7FB03" w14:textId="77777777" w:rsidTr="00703AC1">
        <w:trPr>
          <w:trHeight w:val="383"/>
        </w:trPr>
        <w:tc>
          <w:tcPr>
            <w:tcW w:w="2525" w:type="dxa"/>
          </w:tcPr>
          <w:p w14:paraId="1C9ABAC5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FBD65A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142 – Revogação do livramento condicional/considera período (art. 86, II, e 87 do CP)</w:t>
            </w:r>
          </w:p>
        </w:tc>
        <w:tc>
          <w:tcPr>
            <w:tcW w:w="6547" w:type="dxa"/>
          </w:tcPr>
          <w:p w14:paraId="365B4324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2B8D13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 xml:space="preserve">Deve ser lançado quando ocorre a revogação do livramento condicional e o magistrado determina que o tempo cumprido deve ser considerado como pena cumprida. </w:t>
            </w:r>
          </w:p>
          <w:p w14:paraId="2FCFF94E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9BF249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Ao lançar esse evento, o sistema encerra as apresentações abertas, assim como as demais condições lançadas. (</w:t>
            </w:r>
            <w:r w:rsidRPr="00F10F3A">
              <w:rPr>
                <w:rFonts w:cs="Arial"/>
              </w:rPr>
              <w:fldChar w:fldCharType="begin"/>
            </w:r>
            <w:r w:rsidRPr="00F10F3A">
              <w:rPr>
                <w:rFonts w:ascii="Arial" w:hAnsi="Arial" w:cs="Arial"/>
                <w:sz w:val="24"/>
                <w:szCs w:val="24"/>
              </w:rPr>
              <w:instrText xml:space="preserve"> REF _Ref519095490 \h  \* MERGEFORMAT </w:instrText>
            </w:r>
            <w:r w:rsidRPr="00F10F3A">
              <w:rPr>
                <w:rFonts w:cs="Arial"/>
              </w:rPr>
            </w:r>
            <w:r w:rsidRPr="00F10F3A">
              <w:rPr>
                <w:rFonts w:cs="Arial"/>
              </w:rPr>
              <w:fldChar w:fldCharType="separate"/>
            </w:r>
            <w:r w:rsidR="00B8081D" w:rsidRPr="00B8081D">
              <w:rPr>
                <w:rFonts w:ascii="Arial" w:hAnsi="Arial" w:cs="Arial"/>
                <w:b/>
                <w:sz w:val="24"/>
                <w:szCs w:val="24"/>
              </w:rPr>
              <w:t xml:space="preserve">Figura </w:t>
            </w:r>
            <w:r w:rsidR="00B8081D" w:rsidRPr="00B8081D">
              <w:rPr>
                <w:rFonts w:ascii="Arial" w:hAnsi="Arial" w:cs="Arial"/>
                <w:b/>
                <w:noProof/>
                <w:sz w:val="24"/>
                <w:szCs w:val="24"/>
              </w:rPr>
              <w:t>19</w:t>
            </w:r>
            <w:r w:rsidRPr="00F10F3A">
              <w:rPr>
                <w:rFonts w:cs="Arial"/>
              </w:rPr>
              <w:fldChar w:fldCharType="end"/>
            </w:r>
            <w:r w:rsidRPr="00F10F3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71AAC943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57EE" w:rsidRPr="009337AF" w14:paraId="70BF6287" w14:textId="77777777" w:rsidTr="00703AC1">
        <w:trPr>
          <w:trHeight w:val="383"/>
        </w:trPr>
        <w:tc>
          <w:tcPr>
            <w:tcW w:w="2525" w:type="dxa"/>
          </w:tcPr>
          <w:p w14:paraId="27657CAE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6CE9D6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 xml:space="preserve">143 – Suspensão das condições do livramento condicional </w:t>
            </w:r>
          </w:p>
          <w:p w14:paraId="1C53B3A6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6547" w:type="dxa"/>
          </w:tcPr>
          <w:p w14:paraId="521FB95A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68791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Deve ser lançado quando ocorre a suspensão do livramento condicional.</w:t>
            </w:r>
          </w:p>
          <w:p w14:paraId="495B7F4C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2F543C" w14:textId="77777777" w:rsidR="007A57EE" w:rsidRPr="00DC7E44" w:rsidRDefault="007A57EE" w:rsidP="00B929E2">
            <w:pPr>
              <w:rPr>
                <w:rFonts w:ascii="Arial" w:hAnsi="Arial" w:cs="Arial"/>
                <w:sz w:val="24"/>
                <w:szCs w:val="24"/>
              </w:rPr>
            </w:pPr>
            <w:r w:rsidRPr="00DC7E44">
              <w:rPr>
                <w:rFonts w:ascii="Arial" w:hAnsi="Arial" w:cs="Arial"/>
                <w:sz w:val="24"/>
                <w:szCs w:val="24"/>
              </w:rPr>
              <w:t>Ao ser lançado, o sistema encerra as apresentações abertas</w:t>
            </w:r>
          </w:p>
        </w:tc>
      </w:tr>
    </w:tbl>
    <w:p w14:paraId="7933C1FC" w14:textId="77777777" w:rsidR="007A57EE" w:rsidRDefault="007A57EE" w:rsidP="007A57EE">
      <w:pPr>
        <w:jc w:val="both"/>
        <w:rPr>
          <w:rFonts w:cs="Arial"/>
        </w:rPr>
      </w:pPr>
    </w:p>
    <w:p w14:paraId="51A5E4F2" w14:textId="77777777" w:rsidR="007A57EE" w:rsidRPr="00D65047" w:rsidRDefault="007A57EE" w:rsidP="007A57EE"/>
    <w:p w14:paraId="644CF041" w14:textId="77777777" w:rsidR="007A57EE" w:rsidRPr="006A0430" w:rsidRDefault="007A57EE" w:rsidP="007A57EE">
      <w:pPr>
        <w:keepNext/>
        <w:rPr>
          <w:b/>
        </w:rPr>
      </w:pPr>
      <w:r w:rsidRPr="006A0430">
        <w:rPr>
          <w:b/>
          <w:noProof/>
          <w:lang w:eastAsia="pt-BR" w:bidi="ar-SA"/>
        </w:rPr>
        <w:drawing>
          <wp:inline distT="0" distB="0" distL="0" distR="0" wp14:anchorId="5CBF87B6" wp14:editId="3AC62A0F">
            <wp:extent cx="6300470" cy="4010025"/>
            <wp:effectExtent l="0" t="0" r="508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CD5E" w14:textId="77777777" w:rsidR="007A57EE" w:rsidRDefault="007A57EE" w:rsidP="007A57EE">
      <w:pPr>
        <w:pStyle w:val="Legenda"/>
        <w:jc w:val="center"/>
        <w:rPr>
          <w:b/>
          <w:i w:val="0"/>
        </w:rPr>
      </w:pPr>
      <w:bookmarkStart w:id="19" w:name="_Ref519766441"/>
      <w:r w:rsidRPr="006A0430">
        <w:rPr>
          <w:b/>
          <w:i w:val="0"/>
        </w:rPr>
        <w:t xml:space="preserve">Figura </w:t>
      </w:r>
      <w:r w:rsidRPr="006A0430">
        <w:rPr>
          <w:b/>
          <w:i w:val="0"/>
        </w:rPr>
        <w:fldChar w:fldCharType="begin"/>
      </w:r>
      <w:r w:rsidRPr="006A0430">
        <w:rPr>
          <w:b/>
          <w:i w:val="0"/>
        </w:rPr>
        <w:instrText xml:space="preserve"> SEQ Figura \* ARABIC </w:instrText>
      </w:r>
      <w:r w:rsidRPr="006A0430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18</w:t>
      </w:r>
      <w:r w:rsidRPr="006A0430">
        <w:rPr>
          <w:b/>
          <w:i w:val="0"/>
        </w:rPr>
        <w:fldChar w:fldCharType="end"/>
      </w:r>
      <w:bookmarkEnd w:id="19"/>
      <w:r w:rsidRPr="006A0430">
        <w:rPr>
          <w:b/>
          <w:i w:val="0"/>
        </w:rPr>
        <w:t xml:space="preserve"> - Início do Livramento Condicional</w:t>
      </w:r>
    </w:p>
    <w:p w14:paraId="6B389498" w14:textId="77777777" w:rsidR="007A57EE" w:rsidRPr="006A0430" w:rsidRDefault="007A57EE" w:rsidP="007A57EE"/>
    <w:p w14:paraId="74A97863" w14:textId="77777777" w:rsidR="007A57EE" w:rsidRDefault="007A57EE" w:rsidP="007A57EE">
      <w:pPr>
        <w:keepNext/>
      </w:pPr>
      <w:r>
        <w:rPr>
          <w:noProof/>
          <w:lang w:eastAsia="pt-BR" w:bidi="ar-SA"/>
        </w:rPr>
        <w:drawing>
          <wp:inline distT="0" distB="0" distL="0" distR="0" wp14:anchorId="5F484C3A" wp14:editId="73A1318C">
            <wp:extent cx="6300470" cy="3108325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60D5" w14:textId="77777777" w:rsidR="007A57EE" w:rsidRDefault="007A57EE" w:rsidP="007A57EE">
      <w:pPr>
        <w:pStyle w:val="Legenda"/>
        <w:jc w:val="center"/>
        <w:rPr>
          <w:b/>
          <w:i w:val="0"/>
        </w:rPr>
      </w:pPr>
      <w:bookmarkStart w:id="20" w:name="_Ref519095490"/>
      <w:r w:rsidRPr="00EF3C20">
        <w:rPr>
          <w:b/>
          <w:i w:val="0"/>
        </w:rPr>
        <w:t xml:space="preserve">Figura </w:t>
      </w:r>
      <w:r w:rsidRPr="00EF3C20">
        <w:rPr>
          <w:b/>
          <w:i w:val="0"/>
        </w:rPr>
        <w:fldChar w:fldCharType="begin"/>
      </w:r>
      <w:r w:rsidRPr="00EF3C20">
        <w:rPr>
          <w:b/>
          <w:i w:val="0"/>
        </w:rPr>
        <w:instrText xml:space="preserve"> SEQ Figura \* ARABIC </w:instrText>
      </w:r>
      <w:r w:rsidRPr="00EF3C20">
        <w:rPr>
          <w:b/>
          <w:i w:val="0"/>
        </w:rPr>
        <w:fldChar w:fldCharType="separate"/>
      </w:r>
      <w:r w:rsidR="00B8081D">
        <w:rPr>
          <w:b/>
          <w:i w:val="0"/>
          <w:noProof/>
        </w:rPr>
        <w:t>19</w:t>
      </w:r>
      <w:r w:rsidRPr="00EF3C20">
        <w:rPr>
          <w:b/>
          <w:i w:val="0"/>
        </w:rPr>
        <w:fldChar w:fldCharType="end"/>
      </w:r>
      <w:bookmarkEnd w:id="20"/>
      <w:r w:rsidRPr="00EF3C20">
        <w:rPr>
          <w:b/>
          <w:i w:val="0"/>
        </w:rPr>
        <w:t xml:space="preserve"> - Revogação do Livramento Condicional</w:t>
      </w:r>
    </w:p>
    <w:p w14:paraId="529B9063" w14:textId="77777777" w:rsidR="007A57EE" w:rsidRPr="00EF3C20" w:rsidRDefault="007A57EE" w:rsidP="007A57EE"/>
    <w:p w14:paraId="05ABDCC7" w14:textId="77777777" w:rsidR="00E766A0" w:rsidRDefault="00E766A0">
      <w:pPr>
        <w:pStyle w:val="TJSC-CorpodoTexto"/>
      </w:pPr>
    </w:p>
    <w:sectPr w:rsidR="00E766A0" w:rsidSect="00A9447B">
      <w:headerReference w:type="default" r:id="rId28"/>
      <w:footerReference w:type="default" r:id="rId29"/>
      <w:pgSz w:w="11906" w:h="16838"/>
      <w:pgMar w:top="567" w:right="1418" w:bottom="567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CA0B3" w14:textId="77777777" w:rsidR="002938CD" w:rsidRDefault="002938CD">
      <w:r>
        <w:separator/>
      </w:r>
    </w:p>
  </w:endnote>
  <w:endnote w:type="continuationSeparator" w:id="0">
    <w:p w14:paraId="3623B2E5" w14:textId="77777777" w:rsidR="002938CD" w:rsidRDefault="00293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C20CB" w14:textId="77777777" w:rsidR="009A5BBD" w:rsidRDefault="002938CD">
    <w:pPr>
      <w:pStyle w:val="Rodap"/>
      <w:jc w:val="right"/>
      <w:rPr>
        <w:sz w:val="20"/>
      </w:rPr>
    </w:pPr>
  </w:p>
  <w:p w14:paraId="7D1C20CC" w14:textId="3517CDFA" w:rsidR="009A5BBD" w:rsidRDefault="00682731" w:rsidP="0080578B">
    <w:pPr>
      <w:pStyle w:val="TJSC-Rodap"/>
    </w:pPr>
    <w:r>
      <w:fldChar w:fldCharType="begin"/>
    </w:r>
    <w:r>
      <w:instrText xml:space="preserve"> PAGE </w:instrText>
    </w:r>
    <w:r>
      <w:fldChar w:fldCharType="separate"/>
    </w:r>
    <w:r w:rsidR="004514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277DE" w14:textId="77777777" w:rsidR="002938CD" w:rsidRDefault="002938CD">
      <w:r>
        <w:rPr>
          <w:color w:val="000000"/>
        </w:rPr>
        <w:ptab w:relativeTo="margin" w:alignment="center" w:leader="none"/>
      </w:r>
    </w:p>
  </w:footnote>
  <w:footnote w:type="continuationSeparator" w:id="0">
    <w:p w14:paraId="113BD08E" w14:textId="77777777" w:rsidR="002938CD" w:rsidRDefault="00293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C20C6" w14:textId="7B1B29D0" w:rsidR="009A5BBD" w:rsidRPr="005F3B33" w:rsidRDefault="0055306D" w:rsidP="0080578B">
    <w:pPr>
      <w:pStyle w:val="TJSC-Cabealho"/>
    </w:pPr>
    <w:r w:rsidRPr="005F3B33"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6FF4C782" wp14:editId="56663552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606482" cy="606482"/>
          <wp:effectExtent l="0" t="0" r="0" b="317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TJSC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482" cy="606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2731" w:rsidRPr="005F3B33">
      <w:t>P</w:t>
    </w:r>
    <w:r w:rsidR="00F80F38">
      <w:t>ODER JUDICIÁRIO DE SANTA CATARINA</w:t>
    </w:r>
  </w:p>
  <w:p w14:paraId="7D1C20C7" w14:textId="238B0E3D" w:rsidR="009A5BBD" w:rsidRPr="005F3B33" w:rsidRDefault="00E766A0">
    <w:pPr>
      <w:pStyle w:val="Standard"/>
      <w:ind w:left="1134"/>
      <w:jc w:val="both"/>
      <w:rPr>
        <w:sz w:val="20"/>
        <w:szCs w:val="20"/>
      </w:rPr>
    </w:pPr>
    <w:r w:rsidRPr="005F3B33">
      <w:rPr>
        <w:sz w:val="20"/>
        <w:szCs w:val="20"/>
      </w:rPr>
      <w:t>Corregedoria-Geral da Justiça</w:t>
    </w:r>
  </w:p>
  <w:p w14:paraId="7D1C20C8" w14:textId="795625BD" w:rsidR="009A5BBD" w:rsidRPr="005F3B33" w:rsidRDefault="00E766A0">
    <w:pPr>
      <w:pStyle w:val="Standard"/>
      <w:ind w:left="1134"/>
      <w:jc w:val="both"/>
      <w:rPr>
        <w:sz w:val="20"/>
        <w:szCs w:val="20"/>
      </w:rPr>
    </w:pPr>
    <w:r w:rsidRPr="005F3B33">
      <w:rPr>
        <w:sz w:val="20"/>
        <w:szCs w:val="20"/>
      </w:rPr>
      <w:t xml:space="preserve">Núcleo </w:t>
    </w:r>
    <w:r w:rsidR="00206FA7">
      <w:rPr>
        <w:sz w:val="20"/>
        <w:szCs w:val="20"/>
      </w:rPr>
      <w:t>V</w:t>
    </w:r>
    <w:r w:rsidRPr="005F3B33">
      <w:rPr>
        <w:sz w:val="20"/>
        <w:szCs w:val="20"/>
      </w:rPr>
      <w:t xml:space="preserve"> – </w:t>
    </w:r>
    <w:r w:rsidR="00206FA7">
      <w:rPr>
        <w:sz w:val="20"/>
        <w:szCs w:val="20"/>
      </w:rPr>
      <w:t>Direito Humanos</w:t>
    </w:r>
  </w:p>
  <w:p w14:paraId="7D1C20C9" w14:textId="2C9A55A1" w:rsidR="009A5BBD" w:rsidRPr="005F3B33" w:rsidRDefault="005F3B33">
    <w:pPr>
      <w:pStyle w:val="Standard"/>
      <w:ind w:left="1134"/>
      <w:jc w:val="both"/>
      <w:rPr>
        <w:sz w:val="20"/>
        <w:szCs w:val="20"/>
      </w:rPr>
    </w:pPr>
    <w:r w:rsidRPr="00614B3E">
      <w:rPr>
        <w:sz w:val="20"/>
        <w:szCs w:val="20"/>
      </w:rPr>
      <w:t>Processo</w:t>
    </w:r>
    <w:r w:rsidR="00E766A0" w:rsidRPr="00614B3E">
      <w:rPr>
        <w:sz w:val="20"/>
        <w:szCs w:val="20"/>
      </w:rPr>
      <w:t xml:space="preserve"> </w:t>
    </w:r>
    <w:r w:rsidR="006E3C5A" w:rsidRPr="00614B3E">
      <w:rPr>
        <w:sz w:val="20"/>
        <w:szCs w:val="20"/>
      </w:rPr>
      <w:t xml:space="preserve">n. </w:t>
    </w:r>
    <w:r w:rsidR="007A57EE" w:rsidRPr="00614B3E">
      <w:rPr>
        <w:sz w:val="20"/>
        <w:szCs w:val="20"/>
      </w:rPr>
      <w:t>0000931-47.2016.8.24.06</w:t>
    </w:r>
    <w:r w:rsidR="007A57EE">
      <w:rPr>
        <w:sz w:val="20"/>
        <w:szCs w:val="20"/>
      </w:rPr>
      <w:t>00</w:t>
    </w:r>
  </w:p>
  <w:p w14:paraId="7E307520" w14:textId="77777777" w:rsidR="00720394" w:rsidRDefault="00720394">
    <w:pPr>
      <w:pStyle w:val="Standard"/>
      <w:ind w:left="1134"/>
      <w:jc w:val="both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70498"/>
    <w:multiLevelType w:val="hybridMultilevel"/>
    <w:tmpl w:val="D1925C2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BB5231"/>
    <w:multiLevelType w:val="hybridMultilevel"/>
    <w:tmpl w:val="DDB2A7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625C4A"/>
    <w:multiLevelType w:val="hybridMultilevel"/>
    <w:tmpl w:val="48FAEEF8"/>
    <w:lvl w:ilvl="0" w:tplc="602AB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92F5B"/>
    <w:multiLevelType w:val="hybridMultilevel"/>
    <w:tmpl w:val="8FB80BEA"/>
    <w:lvl w:ilvl="0" w:tplc="D624B15C">
      <w:start w:val="1"/>
      <w:numFmt w:val="bullet"/>
      <w:lvlText w:val=""/>
      <w:lvlJc w:val="left"/>
      <w:pPr>
        <w:ind w:left="0" w:firstLine="107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C832B2A"/>
    <w:multiLevelType w:val="hybridMultilevel"/>
    <w:tmpl w:val="C6F6577E"/>
    <w:lvl w:ilvl="0" w:tplc="0B1C92E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76D3370"/>
    <w:multiLevelType w:val="hybridMultilevel"/>
    <w:tmpl w:val="8BFEF1C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E6FC0"/>
    <w:multiLevelType w:val="hybridMultilevel"/>
    <w:tmpl w:val="7A4AE4C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638E77D7"/>
    <w:multiLevelType w:val="hybridMultilevel"/>
    <w:tmpl w:val="95DCC324"/>
    <w:lvl w:ilvl="0" w:tplc="4502BA68">
      <w:start w:val="1"/>
      <w:numFmt w:val="bullet"/>
      <w:lvlText w:val=""/>
      <w:lvlJc w:val="left"/>
      <w:pPr>
        <w:ind w:left="1134" w:hanging="113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7F025548"/>
    <w:multiLevelType w:val="hybridMultilevel"/>
    <w:tmpl w:val="F342D452"/>
    <w:lvl w:ilvl="0" w:tplc="42EA8D94">
      <w:start w:val="1"/>
      <w:numFmt w:val="bullet"/>
      <w:lvlText w:val=""/>
      <w:lvlJc w:val="left"/>
      <w:pPr>
        <w:ind w:left="0" w:firstLine="113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removePersonalInformation/>
  <w:removeDateAndTime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5D9"/>
    <w:rsid w:val="00011626"/>
    <w:rsid w:val="00030351"/>
    <w:rsid w:val="000D0C06"/>
    <w:rsid w:val="00106E92"/>
    <w:rsid w:val="00175F06"/>
    <w:rsid w:val="0019399C"/>
    <w:rsid w:val="001C05F2"/>
    <w:rsid w:val="001E0E82"/>
    <w:rsid w:val="00206FA7"/>
    <w:rsid w:val="00214125"/>
    <w:rsid w:val="00272FEF"/>
    <w:rsid w:val="0028768C"/>
    <w:rsid w:val="002938CD"/>
    <w:rsid w:val="00337DCF"/>
    <w:rsid w:val="003D6C6C"/>
    <w:rsid w:val="00422038"/>
    <w:rsid w:val="00424EB8"/>
    <w:rsid w:val="004514BE"/>
    <w:rsid w:val="004546D1"/>
    <w:rsid w:val="00461166"/>
    <w:rsid w:val="00473EC7"/>
    <w:rsid w:val="004D01A2"/>
    <w:rsid w:val="004F0DA7"/>
    <w:rsid w:val="005200F6"/>
    <w:rsid w:val="00547EFC"/>
    <w:rsid w:val="0055306D"/>
    <w:rsid w:val="00584C14"/>
    <w:rsid w:val="005F3B33"/>
    <w:rsid w:val="00614B3E"/>
    <w:rsid w:val="006154BA"/>
    <w:rsid w:val="00673D7D"/>
    <w:rsid w:val="00682731"/>
    <w:rsid w:val="00684CC7"/>
    <w:rsid w:val="006E3C5A"/>
    <w:rsid w:val="00703AC1"/>
    <w:rsid w:val="00720394"/>
    <w:rsid w:val="007A57EE"/>
    <w:rsid w:val="007B1260"/>
    <w:rsid w:val="0080578B"/>
    <w:rsid w:val="008408D2"/>
    <w:rsid w:val="008423C5"/>
    <w:rsid w:val="008645D9"/>
    <w:rsid w:val="0086733B"/>
    <w:rsid w:val="008942C1"/>
    <w:rsid w:val="008F13F2"/>
    <w:rsid w:val="008F406E"/>
    <w:rsid w:val="00916818"/>
    <w:rsid w:val="00950C81"/>
    <w:rsid w:val="009730BA"/>
    <w:rsid w:val="00981C7C"/>
    <w:rsid w:val="009C6BF5"/>
    <w:rsid w:val="009E5324"/>
    <w:rsid w:val="00A36380"/>
    <w:rsid w:val="00A424D8"/>
    <w:rsid w:val="00A4413A"/>
    <w:rsid w:val="00A903A1"/>
    <w:rsid w:val="00A9171C"/>
    <w:rsid w:val="00A9447B"/>
    <w:rsid w:val="00B00E2C"/>
    <w:rsid w:val="00B26060"/>
    <w:rsid w:val="00B37D52"/>
    <w:rsid w:val="00B5761C"/>
    <w:rsid w:val="00B8081D"/>
    <w:rsid w:val="00C05818"/>
    <w:rsid w:val="00CC5BFC"/>
    <w:rsid w:val="00CF3670"/>
    <w:rsid w:val="00D94C4C"/>
    <w:rsid w:val="00DC7E44"/>
    <w:rsid w:val="00E766A0"/>
    <w:rsid w:val="00E9312B"/>
    <w:rsid w:val="00ED5D01"/>
    <w:rsid w:val="00F10F3A"/>
    <w:rsid w:val="00F404E6"/>
    <w:rsid w:val="00F4101D"/>
    <w:rsid w:val="00F80F38"/>
    <w:rsid w:val="00F8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C20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Lucida Sans Unicode" w:hAnsi="Arial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Heading"/>
    <w:next w:val="Textbody"/>
    <w:pPr>
      <w:outlineLvl w:val="0"/>
    </w:pPr>
    <w:rPr>
      <w:b/>
      <w:bCs/>
    </w:rPr>
  </w:style>
  <w:style w:type="paragraph" w:styleId="Ttulo2">
    <w:name w:val="heading 2"/>
    <w:basedOn w:val="Heading"/>
    <w:next w:val="Textbody"/>
    <w:pPr>
      <w:outlineLvl w:val="1"/>
    </w:pPr>
    <w:rPr>
      <w:b/>
      <w:bCs/>
      <w:i/>
      <w:iCs/>
    </w:rPr>
  </w:style>
  <w:style w:type="paragraph" w:styleId="Ttulo3">
    <w:name w:val="heading 3"/>
    <w:basedOn w:val="Heading"/>
    <w:next w:val="Textbody"/>
    <w:pPr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Pr>
      <w:rFonts w:eastAsia="SimSun" w:cs="Times New Roman"/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cs="Mangal"/>
      <w:sz w:val="28"/>
      <w:szCs w:val="28"/>
    </w:rPr>
  </w:style>
  <w:style w:type="paragraph" w:styleId="Subttulo">
    <w:name w:val="Subtitle"/>
    <w:basedOn w:val="Ttulo"/>
    <w:next w:val="Textbody"/>
    <w:pPr>
      <w:jc w:val="center"/>
    </w:pPr>
    <w:rPr>
      <w:i/>
      <w:iCs/>
    </w:rPr>
  </w:style>
  <w:style w:type="paragraph" w:styleId="Lista">
    <w:name w:val="List"/>
    <w:basedOn w:val="Textbody"/>
  </w:style>
  <w:style w:type="paragraph" w:styleId="Legenda">
    <w:name w:val="caption"/>
    <w:basedOn w:val="Standard"/>
    <w:uiPriority w:val="35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TJSC-Citao">
    <w:name w:val="TJSC - Citação"/>
    <w:qFormat/>
    <w:rsid w:val="0080578B"/>
    <w:pPr>
      <w:ind w:left="1134"/>
      <w:jc w:val="both"/>
    </w:pPr>
    <w:rPr>
      <w:rFonts w:eastAsia="Arial" w:cs="Arial"/>
    </w:rPr>
  </w:style>
  <w:style w:type="paragraph" w:customStyle="1" w:styleId="TJSC-CorpodoTexto">
    <w:name w:val="TJSC - Corpo do Texto"/>
    <w:qFormat/>
    <w:rsid w:val="0080578B"/>
    <w:pPr>
      <w:spacing w:line="360" w:lineRule="auto"/>
      <w:ind w:firstLine="1134"/>
    </w:pPr>
    <w:rPr>
      <w:rFonts w:eastAsia="Arial" w:cs="Arial"/>
    </w:rPr>
  </w:style>
  <w:style w:type="paragraph" w:customStyle="1" w:styleId="Quotations">
    <w:name w:val="Quotations"/>
    <w:basedOn w:val="Standard"/>
    <w:pPr>
      <w:spacing w:after="283"/>
      <w:ind w:left="567" w:right="567"/>
    </w:pPr>
    <w:rPr>
      <w:rFonts w:eastAsia="Arial" w:cs="Arial"/>
      <w:sz w:val="20"/>
    </w:rPr>
  </w:style>
  <w:style w:type="paragraph" w:customStyle="1" w:styleId="TJSC-Cabealho">
    <w:name w:val="TJSC - Cabeçalho"/>
    <w:link w:val="TJSC-CabealhoChar"/>
    <w:qFormat/>
    <w:rsid w:val="0080578B"/>
    <w:pPr>
      <w:ind w:left="1134"/>
      <w:jc w:val="both"/>
    </w:pPr>
    <w:rPr>
      <w:rFonts w:eastAsia="SimSun" w:cs="Times New Roman"/>
      <w:sz w:val="20"/>
      <w:szCs w:val="20"/>
    </w:rPr>
  </w:style>
  <w:style w:type="paragraph" w:customStyle="1" w:styleId="TJSC-IdentificaodaAo">
    <w:name w:val="TJSC - Identificação da Ação"/>
    <w:link w:val="TJSC-IdentificaodaAoChar"/>
    <w:qFormat/>
    <w:rsid w:val="0080578B"/>
    <w:rPr>
      <w:rFonts w:eastAsia="Arial" w:cs="Arial"/>
    </w:rPr>
  </w:style>
  <w:style w:type="character" w:customStyle="1" w:styleId="TJSC-CabealhoChar">
    <w:name w:val="TJSC - Cabeçalho Char"/>
    <w:basedOn w:val="Fontepargpadro"/>
    <w:link w:val="TJSC-Cabealho"/>
    <w:rsid w:val="0080578B"/>
    <w:rPr>
      <w:rFonts w:eastAsia="SimSun" w:cs="Times New Roman"/>
      <w:sz w:val="20"/>
      <w:szCs w:val="20"/>
    </w:rPr>
  </w:style>
  <w:style w:type="paragraph" w:customStyle="1" w:styleId="TJSC-TtulodoAto">
    <w:name w:val="TJSC - Título do Ato"/>
    <w:link w:val="TJSC-TtulodoAtoChar"/>
    <w:qFormat/>
    <w:rsid w:val="00F404E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eastAsia="Arial" w:cs="Arial"/>
      <w:b/>
      <w:caps/>
    </w:rPr>
  </w:style>
  <w:style w:type="character" w:customStyle="1" w:styleId="TJSC-IdentificaodaAoChar">
    <w:name w:val="TJSC - Identificação da Ação Char"/>
    <w:basedOn w:val="Fontepargpadro"/>
    <w:link w:val="TJSC-IdentificaodaAo"/>
    <w:rsid w:val="0080578B"/>
    <w:rPr>
      <w:rFonts w:eastAsia="Arial" w:cs="Arial"/>
    </w:rPr>
  </w:style>
  <w:style w:type="paragraph" w:customStyle="1" w:styleId="TJSC-Assinatura">
    <w:name w:val="TJSC - Assinatura"/>
    <w:link w:val="TJSC-AssinaturaChar"/>
    <w:qFormat/>
    <w:rsid w:val="0080578B"/>
    <w:pPr>
      <w:spacing w:line="200" w:lineRule="atLeast"/>
      <w:jc w:val="center"/>
    </w:pPr>
    <w:rPr>
      <w:rFonts w:eastAsia="SimSun" w:cs="Times New Roman"/>
      <w:b/>
    </w:rPr>
  </w:style>
  <w:style w:type="character" w:customStyle="1" w:styleId="TJSC-TtulodoAtoChar">
    <w:name w:val="TJSC - Título do Ato Char"/>
    <w:basedOn w:val="Fontepargpadro"/>
    <w:link w:val="TJSC-TtulodoAto"/>
    <w:rsid w:val="00F404E6"/>
    <w:rPr>
      <w:rFonts w:eastAsia="Arial" w:cs="Arial"/>
      <w:b/>
      <w:caps/>
    </w:rPr>
  </w:style>
  <w:style w:type="paragraph" w:customStyle="1" w:styleId="TJSC-Rodap">
    <w:name w:val="TJSC - Rodapé"/>
    <w:link w:val="TJSC-RodapChar"/>
    <w:qFormat/>
    <w:rsid w:val="0080578B"/>
    <w:pPr>
      <w:jc w:val="center"/>
    </w:pPr>
    <w:rPr>
      <w:rFonts w:eastAsia="SimSun" w:cs="Times New Roman"/>
      <w:sz w:val="20"/>
    </w:rPr>
  </w:style>
  <w:style w:type="character" w:customStyle="1" w:styleId="TJSC-AssinaturaChar">
    <w:name w:val="TJSC - Assinatura Char"/>
    <w:basedOn w:val="Fontepargpadro"/>
    <w:link w:val="TJSC-Assinatura"/>
    <w:rsid w:val="0080578B"/>
    <w:rPr>
      <w:rFonts w:eastAsia="SimSun" w:cs="Times New Roman"/>
      <w:b/>
    </w:rPr>
  </w:style>
  <w:style w:type="paragraph" w:customStyle="1" w:styleId="TJSC-TtuloMaior">
    <w:name w:val="TJSC - Título Maior"/>
    <w:link w:val="TJSC-TtuloMaiorChar"/>
    <w:qFormat/>
    <w:rsid w:val="00E9312B"/>
    <w:pPr>
      <w:spacing w:line="360" w:lineRule="auto"/>
      <w:ind w:left="1134"/>
    </w:pPr>
    <w:rPr>
      <w:rFonts w:eastAsia="Arial" w:cs="Arial"/>
      <w:b/>
      <w:caps/>
    </w:rPr>
  </w:style>
  <w:style w:type="character" w:customStyle="1" w:styleId="TJSC-RodapChar">
    <w:name w:val="TJSC - Rodapé Char"/>
    <w:basedOn w:val="Fontepargpadro"/>
    <w:link w:val="TJSC-Rodap"/>
    <w:rsid w:val="0080578B"/>
    <w:rPr>
      <w:rFonts w:eastAsia="SimSun" w:cs="Times New Roman"/>
      <w:sz w:val="20"/>
    </w:rPr>
  </w:style>
  <w:style w:type="paragraph" w:customStyle="1" w:styleId="TJSC-TtuloMenor">
    <w:name w:val="TJSC - Título Menor"/>
    <w:link w:val="TJSC-TtuloMenorChar"/>
    <w:qFormat/>
    <w:rsid w:val="00E9312B"/>
    <w:pPr>
      <w:spacing w:line="360" w:lineRule="auto"/>
      <w:ind w:left="1134"/>
    </w:pPr>
    <w:rPr>
      <w:rFonts w:eastAsia="Arial" w:cs="Arial"/>
      <w:b/>
    </w:rPr>
  </w:style>
  <w:style w:type="character" w:customStyle="1" w:styleId="TJSC-TtuloMaiorChar">
    <w:name w:val="TJSC - Título Maior Char"/>
    <w:basedOn w:val="Fontepargpadro"/>
    <w:link w:val="TJSC-TtuloMaior"/>
    <w:rsid w:val="00E9312B"/>
    <w:rPr>
      <w:rFonts w:eastAsia="Arial" w:cs="Arial"/>
      <w:b/>
      <w:caps/>
    </w:rPr>
  </w:style>
  <w:style w:type="character" w:customStyle="1" w:styleId="TJSC-TtuloMenorChar">
    <w:name w:val="TJSC - Título Menor Char"/>
    <w:basedOn w:val="Fontepargpadro"/>
    <w:link w:val="TJSC-TtuloMenor"/>
    <w:rsid w:val="00E9312B"/>
    <w:rPr>
      <w:rFonts w:eastAsia="Arial" w:cs="Arial"/>
      <w:b/>
    </w:rPr>
  </w:style>
  <w:style w:type="paragraph" w:styleId="PargrafodaLista">
    <w:name w:val="List Paragraph"/>
    <w:basedOn w:val="Normal"/>
    <w:uiPriority w:val="34"/>
    <w:qFormat/>
    <w:rsid w:val="007A57EE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39"/>
    <w:rsid w:val="007A57E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A57EE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01A2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01A2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0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hyperlink" Target="http://cgj.tjsc.jus.br/intranet/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59E8C-DD5C-498E-BD48-CF2A50C0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2901</Words>
  <Characters>15668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2018-09-03T16:58:00Z</dcterms:created>
  <dcterms:modified xsi:type="dcterms:W3CDTF">2018-09-03T16:58:00Z</dcterms:modified>
</cp:coreProperties>
</file>